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Hickman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2"/>
        <w:gridCol w:w="771"/>
        <w:gridCol w:w="599"/>
        <w:gridCol w:w="350"/>
        <w:gridCol w:w="975"/>
        <w:gridCol w:w="459"/>
        <w:gridCol w:w="621"/>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70,076</w:t>
            </w:r>
            <w:r>
              <w:rPr>
                <w:rFonts w:ascii="Times;serif" w:hAnsi="Times;serif"/>
                <w:color w:val="008000"/>
                <w:position w:val="7"/>
                <w:sz w:val="16"/>
                <w:sz w:val="20"/>
                <w:shd w:fill="FFFFFF" w:val="clear"/>
              </w:rPr>
              <w:t>(1)(2)(3)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performance-vesting restricted stock units (the "PRSUs") under the Ionic Digital Inc. Omnibus Incentive Plan. Each PRSU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210,230 PRSUs were granted in 2026 and may vest based on the average daily weighted stock price of the Company's Class A common stock over a 60-calendar-day period ("AWDSP") reaching certain thresholds, provided that the reporting person remains employed through the date of the achievement of the applicable threshold and for 6 months afterward (or, alternatively, under a "change of control" at certain valuation thresholds, provided that the reporting person remains employed through the date of the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29, 2026, the compensation committee of the Issuer's board of directors certified that, based on the AWDSP and the valuation methodology set forth in the PRSU award agreement, the $2.5 billion threshold had been achieved, resulting in 70,076 of these PRSUs being earned; these PRSUs are scheduled to vest on March 25, 2027, subject to the reporting person's continued employment with the Issuer and the terms of the award, as amended. The remaining 140,154 PRSUs remain outstanding and may be earned upon achievement of the applicable performance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Carson, as attorney-in-fact for Chris Hickman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ionicex24-1.htm"/>
      <w:bookmarkStart w:id="3" w:name="ksionic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Richard Carson, Jon Cinocca, and Beth Burkholder signing singly,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an officer, director and/or holder of 10% or more of a registered class of securities of Ionic Digital Inc. (the “Company”), Forms 3, 4 and 5 in accordance with Section 16(a) of the Securities Exchange Act of 1934, as amended, and the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complete and execute any such Form 3, 4 and 5, complete and execute any amendment or amendments thereto, and timely file such forms or amendments with the United States Securities and Exchange Commission and any stock exchange or similar authority, as required;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with respect to the undersigned until the earliest to occur of (a) such date that the undersigned is no longer required to file Forms 3, 4 and 5 with respect to the undersigned's holdings of and transactions in securities issued by the Company, or (b) the revocation by the undersigned in a signed writing delivered to the Company and the foregoing attorneys-in-fact. This Power of Attorney shall terminate with respect to each of the foregoing attorneys-in-fact at such time as such attorney-in-fact is no longer employed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WITNESS WHEREOF, the undersigned has caused this Power of Attorney to be executed as of this 20th day</w:t>
      </w:r>
      <w:r>
        <w:rPr>
          <w:rFonts w:ascii="Times New Roman;Times;Serif" w:hAnsi="Times New Roman;Times;Serif"/>
          <w:b w:val="false"/>
          <w:i w:val="false"/>
          <w:caps w:val="false"/>
          <w:smallCaps w:val="false"/>
          <w:sz w:val="20"/>
        </w:rPr>
        <w:t xml:space="preserve"> of July 2026.</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28" w:type="dxa"/>
          <w:right w:w="0" w:type="dxa"/>
        </w:tblCellMar>
      </w:tblPr>
      <w:tblGrid>
        <w:gridCol w:w="1745"/>
        <w:gridCol w:w="60"/>
        <w:gridCol w:w="1115"/>
      </w:tblGrid>
      <w:tr>
        <w:trPr/>
        <w:tc>
          <w:tcPr>
            <w:tcW w:w="1745" w:type="dxa"/>
            <w:tcBorders>
              <w:bottom w:val="single" w:sz="8" w:space="0" w:color="000000"/>
            </w:tcBorders>
            <w:vAlign w:val="center"/>
          </w:tcPr>
          <w:p>
            <w:pPr>
              <w:pStyle w:val="TableContents"/>
              <w:bidi w:val="0"/>
              <w:spacing w:before="0" w:after="283"/>
              <w:jc w:val="left"/>
              <w:rPr/>
            </w:pPr>
            <w:r>
              <w:rPr/>
              <w:t>/s/ Chris Hickman</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07/20/2026</w:t>
            </w:r>
          </w:p>
        </w:tc>
      </w:tr>
      <w:tr>
        <w:trPr/>
        <w:tc>
          <w:tcPr>
            <w:tcW w:w="1745" w:type="dxa"/>
            <w:tcBorders/>
            <w:tcMar>
              <w:bottom w:w="0" w:type="dxa"/>
            </w:tcMar>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Date</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5839" TargetMode="External"/><Relationship Id="rId5" Type="http://schemas.openxmlformats.org/officeDocument/2006/relationships/hyperlink" Target="http://www.sec.gov/cgi-bin/browse-edgar?action=getcompany&amp;CIK=0002007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1309</Words>
  <Characters>6949</Characters>
  <CharactersWithSpaces>8185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