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6133" w:type="dxa"/>
        <w:jc w:val="left"/>
        <w:tblInd w:w="0" w:type="dxa"/>
        <w:tblLayout w:type="fixed"/>
        <w:tblCellMar>
          <w:top w:w="28" w:type="dxa"/>
          <w:left w:w="28" w:type="dxa"/>
          <w:bottom w:w="28" w:type="dxa"/>
          <w:right w:w="28" w:type="dxa"/>
        </w:tblCellMar>
      </w:tblPr>
      <w:tblGrid>
        <w:gridCol w:w="1194"/>
        <w:gridCol w:w="1051"/>
        <w:gridCol w:w="1054"/>
        <w:gridCol w:w="830"/>
        <w:gridCol w:w="830"/>
        <w:gridCol w:w="1174"/>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PROSPECTUS SUPPLEMENT NO. 1</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Filed pursuant to Rule 424(b)(3)</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 Prospectus dated July 20, 2026)</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SEC File No. 333-297125</w:t>
            </w:r>
          </w:p>
        </w:tc>
      </w:tr>
    </w:tbl>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drawing>
          <wp:inline distT="0" distB="0" distL="0" distR="0">
            <wp:extent cx="3600450"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00450" cy="876300"/>
                    </a:xfrm>
                    <a:prstGeom prst="rect">
                      <a:avLst/>
                    </a:prstGeom>
                  </pic:spPr>
                </pic:pic>
              </a:graphicData>
            </a:graphic>
          </wp:inline>
        </w:drawing>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Ionic Digital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10,800,164 SHARES OF CLASS A COMMON STOCK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updates, amends and supplements the prospectus dated July 20, 2026 (as supplemented or amended from time to time, the “Prospectus”) which forms a part of our Post-Effective Registration Statement on Form S-1 (Registration No. 333-297125). Capitalized terms used in this prospectus supplement and not otherwise defined herein have the meanings specified in the Prospectus.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supplement is being filed to update, amend and supplement the information included in the Prospectus with information contained in our Quarterly Report on Form 10-Q filed with the SEC on September 1, 2026, which is set forth below.</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Class A common stock, par value $0.00001 per share, is traded on the Nasdaq Global Select Market under the ticker symbol “IOND.” On September 1, 2026, the last reported sales price of our Class A common stock as reported on the Nasdaq Global Select Market was $72.15 per share.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0"/>
        </w:rPr>
        <w:t>Investing in our securities involves a high degree of risk. See “</w:t>
      </w:r>
      <w:r>
        <w:rPr>
          <w:rFonts w:ascii="Times New Roman;serif" w:hAnsi="Times New Roman;serif"/>
          <w:b/>
          <w:color w:val="000000"/>
          <w:sz w:val="20"/>
          <w:u w:val="single"/>
        </w:rPr>
        <w:t>Risk Factors</w:t>
      </w:r>
      <w:r>
        <w:rPr>
          <w:color w:val="000000"/>
        </w:rPr>
        <w:t xml:space="preserve">” </w:t>
      </w:r>
      <w:r>
        <w:rPr>
          <w:rFonts w:ascii="Times New Roman;serif" w:hAnsi="Times New Roman;serif"/>
          <w:b/>
          <w:color w:val="000000"/>
          <w:sz w:val="20"/>
        </w:rPr>
        <w:t>beginning on page 11 of the Prospectus for a discussion of information that should be considered in connection with an investment in our securities.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passed upon the accuracy or adequacy of the disclosures in the prospectus. Any representation to the contrary is a criminal offense.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date of this prospectus supplement is September 1,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33"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333"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40" w:before="60" w:after="20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333" w:before="60" w:after="120"/>
        <w:jc w:val="center"/>
        <w:rPr>
          <w:rFonts w:ascii="Times New Roman;serif" w:hAnsi="Times New Roman;serif"/>
          <w:b/>
          <w:color w:val="000000"/>
          <w:sz w:val="20"/>
        </w:rPr>
      </w:pPr>
      <w:r>
        <w:rPr>
          <w:rFonts w:ascii="Times New Roman;serif" w:hAnsi="Times New Roman;serif"/>
          <w:b/>
          <w:color w:val="000000"/>
          <w:sz w:val="20"/>
        </w:rPr>
        <w:t>Commission file number 001-41941</w: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333" w:before="0" w:after="120"/>
        <w:jc w:val="center"/>
        <w:rPr>
          <w:rFonts w:ascii="Times New Roman;serif" w:hAnsi="Times New Roman;serif"/>
          <w:b/>
          <w:color w:val="000000"/>
          <w:sz w:val="36"/>
        </w:rPr>
      </w:pPr>
      <w:r>
        <w:rPr>
          <w:rFonts w:ascii="Times New Roman;serif" w:hAnsi="Times New Roman;serif"/>
          <w:b/>
          <w:color w:val="000000"/>
          <w:sz w:val="36"/>
        </w:rPr>
        <w:t>Ionic Digital Inc.</w:t>
      </w:r>
    </w:p>
    <w:p>
      <w:pPr>
        <w:pStyle w:val="TextBody"/>
        <w:bidi w:val="0"/>
        <w:spacing w:lineRule="auto" w:line="333" w:before="0" w:after="12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tbl>
      <w:tblPr>
        <w:tblW w:w="8648"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99-0565447</w:t>
            </w:r>
          </w:p>
        </w:tc>
      </w:tr>
      <w:tr>
        <w:trPr/>
        <w:tc>
          <w:tcPr>
            <w:tcW w:w="4965" w:type="dxa"/>
            <w:gridSpan w:val="3"/>
            <w:tcBorders/>
            <w:tcMar>
              <w:top w:w="0" w:type="dxa"/>
              <w:left w:w="0" w:type="dxa"/>
              <w:bottom w:w="0" w:type="dxa"/>
              <w:right w:w="0" w:type="dxa"/>
            </w:tcMar>
            <w:vAlign w:val="center"/>
          </w:tcPr>
          <w:p>
            <w:pPr>
              <w:pStyle w:val="TableContents"/>
              <w:bidi w:val="0"/>
              <w:spacing w:lineRule="auto" w:line="333" w:before="43"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029" w:type="dxa"/>
            <w:gridSpan w:val="3"/>
            <w:tcBorders/>
            <w:tcMar>
              <w:top w:w="0" w:type="dxa"/>
              <w:left w:w="0" w:type="dxa"/>
              <w:bottom w:w="0" w:type="dxa"/>
              <w:right w:w="0" w:type="dxa"/>
            </w:tcMar>
            <w:vAlign w:val="center"/>
          </w:tcPr>
          <w:p>
            <w:pPr>
              <w:pStyle w:val="TableContents"/>
              <w:bidi w:val="0"/>
              <w:spacing w:lineRule="auto" w:line="333" w:before="43"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20"/>
              </w:rPr>
            </w:pPr>
            <w:r>
              <w:rPr>
                <w:rFonts w:ascii="Times New Roman;serif" w:hAnsi="Times New Roman;serif"/>
                <w:b/>
                <w:color w:val="000000"/>
                <w:sz w:val="20"/>
              </w:rPr>
              <w:t>650 Massachusetts Avenue NW, 6th Floor</w:t>
            </w:r>
          </w:p>
          <w:p>
            <w:pPr>
              <w:pStyle w:val="TableContents"/>
              <w:bidi w:val="0"/>
              <w:spacing w:lineRule="auto" w:line="240" w:before="0" w:after="30"/>
              <w:jc w:val="center"/>
              <w:rPr/>
            </w:pPr>
            <w:r>
              <w:rPr>
                <w:rFonts w:ascii="Times New Roman;serif" w:hAnsi="Times New Roman;serif"/>
                <w:b/>
                <w:color w:val="000000"/>
                <w:sz w:val="20"/>
              </w:rPr>
              <w:t>Washington</w:t>
            </w:r>
            <w:r>
              <w:rPr>
                <w:rFonts w:ascii="Times New Roman;serif" w:hAnsi="Times New Roman;serif"/>
                <w:b w:val="false"/>
                <w:color w:val="000000"/>
                <w:sz w:val="20"/>
              </w:rPr>
              <w:t xml:space="preserve">, </w:t>
            </w:r>
            <w:r>
              <w:rPr>
                <w:rFonts w:ascii="Times New Roman;serif" w:hAnsi="Times New Roman;serif"/>
                <w:b/>
                <w:color w:val="000000"/>
                <w:sz w:val="20"/>
              </w:rPr>
              <w:t>District of Columbia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20001</w:t>
            </w:r>
          </w:p>
        </w:tc>
      </w:tr>
      <w:tr>
        <w:trPr/>
        <w:tc>
          <w:tcPr>
            <w:tcW w:w="4965" w:type="dxa"/>
            <w:gridSpan w:val="3"/>
            <w:tcBorders/>
            <w:tcMar>
              <w:top w:w="0" w:type="dxa"/>
              <w:left w:w="0" w:type="dxa"/>
              <w:bottom w:w="0" w:type="dxa"/>
              <w:right w:w="0" w:type="dxa"/>
            </w:tcMar>
            <w:vAlign w:val="center"/>
          </w:tcPr>
          <w:p>
            <w:pPr>
              <w:pStyle w:val="TableContents"/>
              <w:bidi w:val="0"/>
              <w:spacing w:lineRule="auto" w:line="333" w:before="43"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029" w:type="dxa"/>
            <w:gridSpan w:val="3"/>
            <w:tcBorders/>
            <w:tcMar>
              <w:top w:w="0" w:type="dxa"/>
              <w:left w:w="0" w:type="dxa"/>
              <w:bottom w:w="0" w:type="dxa"/>
              <w:right w:w="0" w:type="dxa"/>
            </w:tcMar>
            <w:vAlign w:val="center"/>
          </w:tcPr>
          <w:p>
            <w:pPr>
              <w:pStyle w:val="TableContents"/>
              <w:bidi w:val="0"/>
              <w:spacing w:lineRule="auto" w:line="333" w:before="43"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(754) 273-6593</w:t>
      </w:r>
    </w:p>
    <w:p>
      <w:pPr>
        <w:pStyle w:val="TextBody"/>
        <w:bidi w:val="0"/>
        <w:spacing w:lineRule="auto" w:line="333" w:before="120" w:after="20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333" w:before="120" w:after="20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364" w:type="dxa"/>
        <w:jc w:val="left"/>
        <w:tblInd w:w="0" w:type="dxa"/>
        <w:tblLayout w:type="fixed"/>
        <w:tblCellMar>
          <w:top w:w="28" w:type="dxa"/>
          <w:left w:w="28" w:type="dxa"/>
          <w:bottom w:w="28" w:type="dxa"/>
          <w:right w:w="28" w:type="dxa"/>
        </w:tblCellMar>
      </w:tblPr>
      <w:tblGrid>
        <w:gridCol w:w="739"/>
        <w:gridCol w:w="647"/>
        <w:gridCol w:w="654"/>
        <w:gridCol w:w="539"/>
        <w:gridCol w:w="539"/>
        <w:gridCol w:w="541"/>
        <w:gridCol w:w="1085"/>
        <w:gridCol w:w="1085"/>
        <w:gridCol w:w="1535"/>
      </w:tblGrid>
      <w:tr>
        <w:trPr/>
        <w:tc>
          <w:tcPr>
            <w:tcW w:w="7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23" w:after="2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33" w:before="23" w:after="2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33" w:before="23" w:after="2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0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33" w:before="23" w:after="20"/>
              <w:jc w:val="center"/>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33" w:before="23" w:after="20"/>
              <w:jc w:val="center"/>
              <w:rPr>
                <w:rFonts w:ascii="Times New Roman;serif" w:hAnsi="Times New Roman;serif"/>
                <w:b w:val="false"/>
                <w:color w:val="000000"/>
                <w:sz w:val="20"/>
              </w:rPr>
            </w:pPr>
            <w:r>
              <w:rPr>
                <w:rFonts w:ascii="Times New Roman;serif" w:hAnsi="Times New Roman;serif"/>
                <w:b w:val="false"/>
                <w:color w:val="000000"/>
                <w:sz w:val="20"/>
              </w:rPr>
              <w:t>IOND</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33" w:before="23" w:after="20"/>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333" w:before="200" w:after="2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333" w:before="120" w:after="20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120" w:after="2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333" w:before="120" w:after="20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333" w:before="120" w:after="2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10"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33" w:before="43" w:after="20"/>
              <w:jc w:val="both"/>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1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333" w:before="43" w:after="20"/>
              <w:jc w:val="both"/>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333" w:before="240" w:after="20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333" w:before="120" w:after="20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333" w:before="120" w:after="2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w:t>
      </w:r>
    </w:p>
    <w:p>
      <w:pPr>
        <w:pStyle w:val="TextBody"/>
        <w:bidi w:val="0"/>
        <w:spacing w:lineRule="auto" w:line="333" w:before="120" w:after="20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As of August 25, 2026, the number of shares outstanding of the Registrant’s common stock was 44,996,175.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521" w:type="dxa"/>
        <w:jc w:val="left"/>
        <w:tblInd w:w="0" w:type="dxa"/>
        <w:tblLayout w:type="fixed"/>
        <w:tblCellMar>
          <w:top w:w="28" w:type="dxa"/>
          <w:left w:w="28" w:type="dxa"/>
          <w:bottom w:w="28" w:type="dxa"/>
          <w:right w:w="28" w:type="dxa"/>
        </w:tblCellMar>
      </w:tblPr>
      <w:tblGrid>
        <w:gridCol w:w="2881"/>
        <w:gridCol w:w="2531"/>
        <w:gridCol w:w="2538"/>
        <w:gridCol w:w="167"/>
        <w:gridCol w:w="167"/>
        <w:gridCol w:w="237"/>
      </w:tblGrid>
      <w:tr>
        <w:trPr/>
        <w:tc>
          <w:tcPr>
            <w:tcW w:w="2881"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before="43" w:after="20"/>
              <w:jc w:val="left"/>
              <w:rPr/>
            </w:pPr>
            <w:r>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95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43" w:after="20"/>
              <w:jc w:val="left"/>
              <w:rPr/>
            </w:pPr>
            <w:hyperlink w:anchor="i46b0af08129b49d18354cd596143d483_48">
              <w:r>
                <w:rPr>
                  <w:rStyle w:val="InternetLink"/>
                  <w:rFonts w:ascii="Times New Roman;serif" w:hAnsi="Times New Roman;serif"/>
                  <w:b/>
                  <w:strike w:val="false"/>
                  <w:dstrike w:val="false"/>
                  <w:color w:val="000000"/>
                  <w:sz w:val="20"/>
                  <w:u w:val="none"/>
                  <w:effect w:val="none"/>
                </w:rPr>
                <w:t>Part I - Financial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7950"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val="false"/>
                <w:color w:val="000000"/>
                <w:sz w:val="20"/>
              </w:rPr>
            </w:pPr>
            <w:r>
              <w:rPr>
                <w:rFonts w:ascii="Times New Roman;serif" w:hAnsi="Times New Roman;serif"/>
                <w:b w:val="false"/>
                <w:color w:val="000000"/>
                <w:sz w:val="20"/>
              </w:rPr>
              <w:t>Item 1. Unaudited Financial Statements</w:t>
            </w:r>
          </w:p>
        </w:tc>
        <w:tc>
          <w:tcPr>
            <w:tcW w:w="571" w:type="dxa"/>
            <w:gridSpan w:val="3"/>
            <w:tcBorders/>
            <w:tcMar>
              <w:top w:w="0" w:type="dxa"/>
              <w:left w:w="0" w:type="dxa"/>
              <w:bottom w:w="0" w:type="dxa"/>
              <w:right w:w="0" w:type="dxa"/>
            </w:tcMar>
            <w:vAlign w:val="center"/>
          </w:tcPr>
          <w:p>
            <w:pPr>
              <w:pStyle w:val="TableContents"/>
              <w:bidi w:val="0"/>
              <w:spacing w:lineRule="auto" w:line="333" w:before="43" w:after="20"/>
              <w:jc w:val="center"/>
              <w:rPr/>
            </w:pPr>
            <w:hyperlink w:anchor="i46b0af08129b49d18354cd596143d483_48">
              <w:r>
                <w:rPr>
                  <w:rStyle w:val="InternetLink"/>
                  <w:rFonts w:ascii="Times New Roman;serif" w:hAnsi="Times New Roman;serif"/>
                  <w:b w:val="false"/>
                  <w:color w:val="0000FF"/>
                  <w:sz w:val="20"/>
                  <w:u w:val="single"/>
                </w:rPr>
                <w:t>6</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333" w:before="43" w:after="20"/>
              <w:jc w:val="left"/>
              <w:rPr/>
            </w:pPr>
            <w:hyperlink w:anchor="i46b0af08129b49d18354cd596143d483_63">
              <w:r>
                <w:rPr>
                  <w:rStyle w:val="InternetLink"/>
                  <w:rFonts w:ascii="Times New Roman;serif" w:hAnsi="Times New Roman;serif"/>
                  <w:b w:val="false"/>
                  <w:strike w:val="false"/>
                  <w:dstrike w:val="false"/>
                  <w:color w:val="000000"/>
                  <w:sz w:val="20"/>
                  <w:u w:val="none"/>
                  <w:effect w:val="none"/>
                </w:rPr>
                <w:t>Item 2. 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43" w:after="20"/>
              <w:jc w:val="center"/>
              <w:rPr/>
            </w:pPr>
            <w:hyperlink w:anchor="i46b0af08129b49d18354cd596143d483_63">
              <w:r>
                <w:rPr>
                  <w:rStyle w:val="InternetLink"/>
                  <w:rFonts w:ascii="Times New Roman;serif" w:hAnsi="Times New Roman;serif"/>
                  <w:b w:val="false"/>
                  <w:strike w:val="false"/>
                  <w:dstrike w:val="false"/>
                  <w:color w:val="000000"/>
                  <w:sz w:val="20"/>
                  <w:u w:val="none"/>
                  <w:effect w:val="none"/>
                </w:rPr>
                <w:t>40</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333" w:before="43" w:after="20"/>
              <w:jc w:val="left"/>
              <w:rPr/>
            </w:pPr>
            <w:hyperlink w:anchor="i46b0af08129b49d18354cd596143d483_63">
              <w:r>
                <w:rPr>
                  <w:rStyle w:val="InternetLink"/>
                  <w:rFonts w:ascii="Times New Roman;serif" w:hAnsi="Times New Roman;serif"/>
                  <w:b w:val="false"/>
                  <w:strike w:val="false"/>
                  <w:dstrike w:val="false"/>
                  <w:color w:val="000000"/>
                  <w:sz w:val="20"/>
                  <w:u w:val="none"/>
                  <w:effect w:val="none"/>
                </w:rPr>
                <w:t>Item 3. 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43" w:after="20"/>
              <w:jc w:val="center"/>
              <w:rPr/>
            </w:pPr>
            <w:hyperlink w:anchor="i46b0af08129b49d18354cd596143d483_63">
              <w:r>
                <w:rPr>
                  <w:rStyle w:val="InternetLink"/>
                  <w:rFonts w:ascii="Times New Roman;serif" w:hAnsi="Times New Roman;serif"/>
                  <w:b w:val="false"/>
                  <w:strike w:val="false"/>
                  <w:dstrike w:val="false"/>
                  <w:color w:val="000000"/>
                  <w:sz w:val="20"/>
                  <w:u w:val="none"/>
                  <w:effect w:val="none"/>
                </w:rPr>
                <w:t>53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333" w:before="43" w:after="20"/>
              <w:jc w:val="left"/>
              <w:rPr/>
            </w:pPr>
            <w:hyperlink w:anchor="i46b0af08129b49d18354cd596143d483_63">
              <w:r>
                <w:rPr>
                  <w:rStyle w:val="InternetLink"/>
                  <w:rFonts w:ascii="Times New Roman;serif" w:hAnsi="Times New Roman;serif"/>
                  <w:b w:val="false"/>
                  <w:strike w:val="false"/>
                  <w:dstrike w:val="false"/>
                  <w:color w:val="000000"/>
                  <w:sz w:val="20"/>
                  <w:u w:val="none"/>
                  <w:effect w:val="none"/>
                </w:rPr>
                <w:t>Item 4. 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43" w:after="20"/>
              <w:jc w:val="center"/>
              <w:rPr/>
            </w:pPr>
            <w:hyperlink w:anchor="i46b0af08129b49d18354cd596143d483_63">
              <w:r>
                <w:rPr>
                  <w:rStyle w:val="InternetLink"/>
                  <w:rFonts w:ascii="Times New Roman;serif" w:hAnsi="Times New Roman;serif"/>
                  <w:b w:val="false"/>
                  <w:strike w:val="false"/>
                  <w:dstrike w:val="false"/>
                  <w:color w:val="000000"/>
                  <w:sz w:val="20"/>
                  <w:u w:val="none"/>
                  <w:effect w:val="none"/>
                </w:rPr>
                <w:t>53</w:t>
              </w:r>
            </w:hyperlink>
          </w:p>
        </w:tc>
      </w:tr>
      <w:tr>
        <w:trPr/>
        <w:tc>
          <w:tcPr>
            <w:tcW w:w="795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43" w:after="20"/>
              <w:jc w:val="left"/>
              <w:rPr/>
            </w:pPr>
            <w:hyperlink w:anchor="i46b0af08129b49d18354cd596143d483_63">
              <w:r>
                <w:rPr>
                  <w:rStyle w:val="InternetLink"/>
                  <w:rFonts w:ascii="Times New Roman;serif" w:hAnsi="Times New Roman;serif"/>
                  <w:b/>
                  <w:strike w:val="false"/>
                  <w:dstrike w:val="false"/>
                  <w:color w:val="000000"/>
                  <w:sz w:val="20"/>
                  <w:u w:val="none"/>
                  <w:effect w:val="none"/>
                </w:rPr>
                <w:t>Part II - Other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333" w:before="43" w:after="20"/>
              <w:jc w:val="left"/>
              <w:rPr/>
            </w:pPr>
            <w:hyperlink w:anchor="i46b0af08129b49d18354cd596143d483_63">
              <w:r>
                <w:rPr>
                  <w:rStyle w:val="InternetLink"/>
                  <w:rFonts w:ascii="Times New Roman;serif" w:hAnsi="Times New Roman;serif"/>
                  <w:b w:val="false"/>
                  <w:strike w:val="false"/>
                  <w:dstrike w:val="false"/>
                  <w:color w:val="000000"/>
                  <w:sz w:val="20"/>
                  <w:u w:val="none"/>
                  <w:effect w:val="none"/>
                </w:rPr>
                <w:t>Item 1. 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43" w:after="20"/>
              <w:jc w:val="center"/>
              <w:rPr/>
            </w:pPr>
            <w:hyperlink w:anchor="i46b0af08129b49d18354cd596143d483_63">
              <w:r>
                <w:rPr>
                  <w:rStyle w:val="InternetLink"/>
                  <w:rFonts w:ascii="Times New Roman;serif" w:hAnsi="Times New Roman;serif"/>
                  <w:b w:val="false"/>
                  <w:strike w:val="false"/>
                  <w:dstrike w:val="false"/>
                  <w:color w:val="000000"/>
                  <w:sz w:val="20"/>
                  <w:u w:val="none"/>
                  <w:effect w:val="none"/>
                </w:rPr>
                <w:t>55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333" w:before="43" w:after="20"/>
              <w:jc w:val="left"/>
              <w:rPr/>
            </w:pPr>
            <w:hyperlink w:anchor="i46b0af08129b49d18354cd596143d483_63">
              <w:r>
                <w:rPr>
                  <w:rStyle w:val="InternetLink"/>
                  <w:rFonts w:ascii="Times New Roman;serif" w:hAnsi="Times New Roman;serif"/>
                  <w:b w:val="false"/>
                  <w:strike w:val="false"/>
                  <w:dstrike w:val="false"/>
                  <w:color w:val="000000"/>
                  <w:sz w:val="20"/>
                  <w:u w:val="none"/>
                  <w:effect w:val="none"/>
                </w:rPr>
                <w:t>Item 1A. 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43" w:after="20"/>
              <w:jc w:val="center"/>
              <w:rPr/>
            </w:pPr>
            <w:hyperlink w:anchor="i46b0af08129b49d18354cd596143d483_63">
              <w:r>
                <w:rPr>
                  <w:rStyle w:val="InternetLink"/>
                  <w:rFonts w:ascii="Times New Roman;serif" w:hAnsi="Times New Roman;serif"/>
                  <w:b w:val="false"/>
                  <w:strike w:val="false"/>
                  <w:dstrike w:val="false"/>
                  <w:color w:val="000000"/>
                  <w:sz w:val="20"/>
                  <w:u w:val="none"/>
                  <w:effect w:val="none"/>
                </w:rPr>
                <w:t>55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333" w:before="43" w:after="20"/>
              <w:jc w:val="left"/>
              <w:rPr/>
            </w:pPr>
            <w:hyperlink w:anchor="i46b0af08129b49d18354cd596143d483_63">
              <w:r>
                <w:rPr>
                  <w:rStyle w:val="InternetLink"/>
                  <w:rFonts w:ascii="Times New Roman;serif" w:hAnsi="Times New Roman;serif"/>
                  <w:b w:val="false"/>
                  <w:strike w:val="false"/>
                  <w:dstrike w:val="false"/>
                  <w:color w:val="000000"/>
                  <w:sz w:val="20"/>
                  <w:u w:val="none"/>
                  <w:effect w:val="none"/>
                </w:rPr>
                <w:t>Item 2. 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43" w:after="20"/>
              <w:jc w:val="center"/>
              <w:rPr/>
            </w:pPr>
            <w:hyperlink w:anchor="i46b0af08129b49d18354cd596143d483_63">
              <w:r>
                <w:rPr>
                  <w:rStyle w:val="InternetLink"/>
                  <w:rFonts w:ascii="Times New Roman;serif" w:hAnsi="Times New Roman;serif"/>
                  <w:b w:val="false"/>
                  <w:strike w:val="false"/>
                  <w:dstrike w:val="false"/>
                  <w:color w:val="000000"/>
                  <w:sz w:val="20"/>
                  <w:u w:val="none"/>
                  <w:effect w:val="none"/>
                </w:rPr>
                <w:t>55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333" w:before="43" w:after="20"/>
              <w:jc w:val="left"/>
              <w:rPr/>
            </w:pPr>
            <w:hyperlink w:anchor="i46b0af08129b49d18354cd596143d483_63">
              <w:r>
                <w:rPr>
                  <w:rStyle w:val="InternetLink"/>
                  <w:rFonts w:ascii="Times New Roman;serif" w:hAnsi="Times New Roman;serif"/>
                  <w:b w:val="false"/>
                  <w:strike w:val="false"/>
                  <w:dstrike w:val="false"/>
                  <w:color w:val="000000"/>
                  <w:sz w:val="20"/>
                  <w:u w:val="none"/>
                  <w:effect w:val="none"/>
                </w:rPr>
                <w:t>Item 3. 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43" w:after="20"/>
              <w:jc w:val="center"/>
              <w:rPr/>
            </w:pPr>
            <w:hyperlink w:anchor="i46b0af08129b49d18354cd596143d483_63">
              <w:r>
                <w:rPr>
                  <w:rStyle w:val="InternetLink"/>
                  <w:rFonts w:ascii="Times New Roman;serif" w:hAnsi="Times New Roman;serif"/>
                  <w:b w:val="false"/>
                  <w:strike w:val="false"/>
                  <w:dstrike w:val="false"/>
                  <w:color w:val="000000"/>
                  <w:sz w:val="20"/>
                  <w:u w:val="none"/>
                  <w:effect w:val="none"/>
                </w:rPr>
                <w:t>55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333" w:before="43" w:after="20"/>
              <w:jc w:val="left"/>
              <w:rPr/>
            </w:pPr>
            <w:hyperlink w:anchor="i46b0af08129b49d18354cd596143d483_63">
              <w:r>
                <w:rPr>
                  <w:rStyle w:val="InternetLink"/>
                  <w:rFonts w:ascii="Times New Roman;serif" w:hAnsi="Times New Roman;serif"/>
                  <w:b w:val="false"/>
                  <w:strike w:val="false"/>
                  <w:dstrike w:val="false"/>
                  <w:color w:val="000000"/>
                  <w:sz w:val="20"/>
                  <w:u w:val="none"/>
                  <w:effect w:val="none"/>
                </w:rPr>
                <w:t>Item 4. 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43" w:after="20"/>
              <w:jc w:val="center"/>
              <w:rPr/>
            </w:pPr>
            <w:hyperlink w:anchor="i46b0af08129b49d18354cd596143d483_63">
              <w:r>
                <w:rPr>
                  <w:rStyle w:val="InternetLink"/>
                  <w:rFonts w:ascii="Times New Roman;serif" w:hAnsi="Times New Roman;serif"/>
                  <w:b w:val="false"/>
                  <w:strike w:val="false"/>
                  <w:dstrike w:val="false"/>
                  <w:color w:val="000000"/>
                  <w:sz w:val="20"/>
                  <w:u w:val="none"/>
                  <w:effect w:val="none"/>
                </w:rPr>
                <w:t>55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333" w:before="43" w:after="20"/>
              <w:jc w:val="left"/>
              <w:rPr/>
            </w:pPr>
            <w:hyperlink w:anchor="i46b0af08129b49d18354cd596143d483_63">
              <w:r>
                <w:rPr>
                  <w:rStyle w:val="InternetLink"/>
                  <w:rFonts w:ascii="Times New Roman;serif" w:hAnsi="Times New Roman;serif"/>
                  <w:b w:val="false"/>
                  <w:strike w:val="false"/>
                  <w:dstrike w:val="false"/>
                  <w:color w:val="000000"/>
                  <w:sz w:val="20"/>
                  <w:u w:val="none"/>
                  <w:effect w:val="none"/>
                </w:rPr>
                <w:t>Item 5. 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43" w:after="20"/>
              <w:jc w:val="center"/>
              <w:rPr/>
            </w:pPr>
            <w:hyperlink w:anchor="i46b0af08129b49d18354cd596143d483_63">
              <w:r>
                <w:rPr>
                  <w:rStyle w:val="InternetLink"/>
                  <w:rFonts w:ascii="Times New Roman;serif" w:hAnsi="Times New Roman;serif"/>
                  <w:b w:val="false"/>
                  <w:strike w:val="false"/>
                  <w:dstrike w:val="false"/>
                  <w:color w:val="000000"/>
                  <w:sz w:val="20"/>
                  <w:u w:val="none"/>
                  <w:effect w:val="none"/>
                </w:rPr>
                <w:t>55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333" w:before="43" w:after="20"/>
              <w:jc w:val="left"/>
              <w:rPr/>
            </w:pPr>
            <w:hyperlink w:anchor="i46b0af08129b49d18354cd596143d483_63">
              <w:r>
                <w:rPr>
                  <w:rStyle w:val="InternetLink"/>
                  <w:rFonts w:ascii="Times New Roman;serif" w:hAnsi="Times New Roman;serif"/>
                  <w:b w:val="false"/>
                  <w:strike w:val="false"/>
                  <w:dstrike w:val="false"/>
                  <w:color w:val="000000"/>
                  <w:sz w:val="20"/>
                  <w:u w:val="none"/>
                  <w:effect w:val="none"/>
                </w:rPr>
                <w:t>Item 6. 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43" w:after="20"/>
              <w:jc w:val="center"/>
              <w:rPr/>
            </w:pPr>
            <w:hyperlink w:anchor="i46b0af08129b49d18354cd596143d483_63">
              <w:r>
                <w:rPr>
                  <w:rStyle w:val="InternetLink"/>
                  <w:rFonts w:ascii="Times New Roman;serif" w:hAnsi="Times New Roman;serif"/>
                  <w:b w:val="false"/>
                  <w:strike w:val="false"/>
                  <w:dstrike w:val="false"/>
                  <w:color w:val="000000"/>
                  <w:sz w:val="20"/>
                  <w:u w:val="none"/>
                  <w:effect w:val="none"/>
                </w:rPr>
                <w:t>56</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43" w:after="20"/>
              <w:jc w:val="left"/>
              <w:rPr/>
            </w:pPr>
            <w:hyperlink w:anchor="i46b0af08129b49d18354cd596143d483_63">
              <w:r>
                <w:rPr>
                  <w:rStyle w:val="InternetLink"/>
                  <w:rFonts w:ascii="Times New Roman;serif" w:hAnsi="Times New Roman;serif"/>
                  <w:b/>
                  <w:strike w:val="false"/>
                  <w:dstrike w:val="false"/>
                  <w:color w:val="000000"/>
                  <w:sz w:val="20"/>
                  <w:u w:val="none"/>
                  <w:effect w:val="non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43" w:after="20"/>
              <w:jc w:val="center"/>
              <w:rPr/>
            </w:pPr>
            <w:hyperlink w:anchor="i46b0af08129b49d18354cd596143d483_63">
              <w:r>
                <w:rPr>
                  <w:rStyle w:val="InternetLink"/>
                  <w:rFonts w:ascii="Times New Roman;serif" w:hAnsi="Times New Roman;serif"/>
                  <w:b w:val="false"/>
                  <w:strike w:val="false"/>
                  <w:dstrike w:val="false"/>
                  <w:color w:val="000000"/>
                  <w:sz w:val="20"/>
                  <w:u w:val="none"/>
                  <w:effect w:val="none"/>
                </w:rPr>
                <w:t>58</w:t>
              </w:r>
            </w:hyperlink>
          </w:p>
        </w:tc>
      </w:tr>
    </w:tbl>
    <w:p>
      <w:pPr>
        <w:pStyle w:val="TextBody"/>
        <w:bidi w:val="0"/>
        <w:spacing w:before="0" w:after="283"/>
        <w:jc w:val="left"/>
        <w:rPr/>
      </w:pPr>
      <w:r>
        <w:rPr/>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(the “Quarterly Report”) includes forward-looking statements that reflect our plans, beliefs, expectations and current views with respect to, among other things, future events and financial performance. These forward-looking statements are based on the historical financial information and our current plans, estimates and projections in light of information currently available to us, and therefore you should not place undue reliance on them. The inclusion of this forward-looking information should not be regarded as a representation by us or any other person that the future plans, estimates or expectations contemplated by us will be achieved. Forward-looking statements made in this Quarterly Report speak only as of its date, and we undertake no obligation to update them in light of new information or future events, except as required by law.</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Forward-looking statements can be identified by the fact that they do not relate strictly to historical or current facts and are often characterized by the use of words such as “anticipates,” “believes,” “estimates,” “expects,” “intends,” “may,” “projects,” “plans,” or by discussions of strategy, plans or intentions. Such forward-looking statements involve known and unknown risks, uncertainties, assumptions and other important factors that could cause our actual results, performance or achievements, or industry results, to differ materially from historical results or any future results, performance or achievements expressed, suggested or implied by such forward-looking statements. Some of the risks, uncertainties and other important factors that could cause results to differ from those currently expected, or that otherwise could impact us, include, but are not limited to:</w:t>
      </w:r>
    </w:p>
    <w:p>
      <w:pPr>
        <w:pStyle w:val="TextBody"/>
        <w:bidi w:val="0"/>
        <w:spacing w:lineRule="auto" w:line="333" w:before="120" w:after="120"/>
        <w:ind w:left="0" w:right="0" w:hanging="360"/>
        <w:jc w:val="both"/>
        <w:rPr/>
      </w:pPr>
      <w:r>
        <w:rPr>
          <w:color w:val="000000"/>
        </w:rPr>
        <w:t>•</w:t>
      </w:r>
      <w:r>
        <w:rPr>
          <w:rFonts w:ascii="Times New Roman;serif" w:hAnsi="Times New Roman;serif"/>
          <w:b w:val="false"/>
          <w:color w:val="000000"/>
          <w:sz w:val="20"/>
        </w:rPr>
        <w:t>our ability to secure and retain customers on commercially reasonable terms or at all in our digital infrastructure business;</w:t>
      </w:r>
    </w:p>
    <w:p>
      <w:pPr>
        <w:pStyle w:val="TextBody"/>
        <w:bidi w:val="0"/>
        <w:spacing w:lineRule="auto" w:line="333" w:before="120" w:after="120"/>
        <w:ind w:left="0" w:right="0" w:hanging="360"/>
        <w:jc w:val="both"/>
        <w:rPr/>
      </w:pPr>
      <w:r>
        <w:rPr>
          <w:color w:val="000000"/>
        </w:rPr>
        <w:t>•</w:t>
      </w:r>
      <w:r>
        <w:rPr>
          <w:rFonts w:ascii="Times New Roman;serif" w:hAnsi="Times New Roman;serif"/>
          <w:b w:val="false"/>
          <w:color w:val="000000"/>
          <w:sz w:val="20"/>
        </w:rPr>
        <w:t>our ability to establish and maintain a customer base for our digital infrastructure business and customer concentration;</w:t>
      </w:r>
    </w:p>
    <w:p>
      <w:pPr>
        <w:pStyle w:val="TextBody"/>
        <w:bidi w:val="0"/>
        <w:spacing w:lineRule="auto" w:line="333" w:before="120" w:after="120"/>
        <w:ind w:left="0" w:right="0" w:hanging="360"/>
        <w:jc w:val="both"/>
        <w:rPr/>
      </w:pPr>
      <w:r>
        <w:rPr>
          <w:color w:val="000000"/>
        </w:rPr>
        <w:t>•</w:t>
      </w:r>
      <w:r>
        <w:rPr>
          <w:rFonts w:ascii="Times New Roman;serif" w:hAnsi="Times New Roman;serif"/>
          <w:b w:val="false"/>
          <w:color w:val="000000"/>
          <w:sz w:val="20"/>
        </w:rPr>
        <w:t>our ability to procure sufficient power for our digital infrastructure solutions and bitcoin mining operations, and to obtain required regulatory approvals to increase energy capacity;</w:t>
      </w:r>
    </w:p>
    <w:p>
      <w:pPr>
        <w:pStyle w:val="TextBody"/>
        <w:bidi w:val="0"/>
        <w:spacing w:lineRule="auto" w:line="333" w:before="120" w:after="120"/>
        <w:ind w:left="0" w:right="0" w:hanging="360"/>
        <w:jc w:val="both"/>
        <w:rPr/>
      </w:pPr>
      <w:r>
        <w:rPr>
          <w:color w:val="000000"/>
        </w:rPr>
        <w:t>•</w:t>
      </w:r>
      <w:r>
        <w:rPr>
          <w:rFonts w:ascii="Times New Roman;serif" w:hAnsi="Times New Roman;serif"/>
          <w:b w:val="false"/>
          <w:color w:val="000000"/>
          <w:sz w:val="20"/>
        </w:rPr>
        <w:t>business interruptions, including due to power outages, shortages, capacity constraints, catastrophic disasters or other events;</w:t>
      </w:r>
    </w:p>
    <w:p>
      <w:pPr>
        <w:pStyle w:val="TextBody"/>
        <w:bidi w:val="0"/>
        <w:spacing w:lineRule="auto" w:line="333" w:before="120" w:after="120"/>
        <w:ind w:left="0" w:right="0" w:hanging="360"/>
        <w:jc w:val="both"/>
        <w:rPr/>
      </w:pPr>
      <w:r>
        <w:rPr>
          <w:color w:val="000000"/>
        </w:rPr>
        <w:t>•</w:t>
      </w:r>
      <w:r>
        <w:rPr>
          <w:rFonts w:ascii="Times New Roman;serif" w:hAnsi="Times New Roman;serif"/>
          <w:b w:val="false"/>
          <w:color w:val="000000"/>
          <w:sz w:val="20"/>
        </w:rPr>
        <w:t>our ability to access sufficient capital for future strategic growth initiatives;</w:t>
      </w:r>
    </w:p>
    <w:p>
      <w:pPr>
        <w:pStyle w:val="TextBody"/>
        <w:bidi w:val="0"/>
        <w:spacing w:lineRule="auto" w:line="333" w:before="120" w:after="120"/>
        <w:ind w:left="0" w:right="0" w:hanging="360"/>
        <w:jc w:val="both"/>
        <w:rPr/>
      </w:pPr>
      <w:r>
        <w:rPr>
          <w:color w:val="000000"/>
        </w:rPr>
        <w:t>•</w:t>
      </w:r>
      <w:r>
        <w:rPr>
          <w:rFonts w:ascii="Times New Roman;serif" w:hAnsi="Times New Roman;serif"/>
          <w:b w:val="false"/>
          <w:color w:val="000000"/>
          <w:sz w:val="20"/>
        </w:rPr>
        <w:t>additional bitcoin mining capacity from competing bitcoin miners decreases our effective network hashrate market share, and if we are unable to grow our hashrate at pace with the global network hashrate, our chance of earning bitcoin from our mining operations will decline;</w:t>
      </w:r>
    </w:p>
    <w:p>
      <w:pPr>
        <w:pStyle w:val="TextBody"/>
        <w:bidi w:val="0"/>
        <w:spacing w:lineRule="auto" w:line="333" w:before="120" w:after="120"/>
        <w:ind w:left="0" w:right="0" w:hanging="360"/>
        <w:jc w:val="both"/>
        <w:rPr/>
      </w:pPr>
      <w:r>
        <w:rPr>
          <w:color w:val="000000"/>
        </w:rPr>
        <w:t>•</w:t>
      </w:r>
      <w:r>
        <w:rPr>
          <w:rFonts w:ascii="Times New Roman;serif" w:hAnsi="Times New Roman;serif"/>
          <w:b w:val="false"/>
          <w:color w:val="000000"/>
          <w:sz w:val="20"/>
        </w:rPr>
        <w:t>our third-party contract manufacturers, pool service providers, component suppliers and energy providers, some of which are sole source and limited source suppliers;</w:t>
      </w:r>
    </w:p>
    <w:p>
      <w:pPr>
        <w:pStyle w:val="TextBody"/>
        <w:bidi w:val="0"/>
        <w:spacing w:lineRule="auto" w:line="333" w:before="120" w:after="120"/>
        <w:ind w:left="0" w:right="0" w:hanging="360"/>
        <w:jc w:val="both"/>
        <w:rPr/>
      </w:pPr>
      <w:r>
        <w:rPr>
          <w:color w:val="000000"/>
        </w:rPr>
        <w:t>•</w:t>
      </w:r>
      <w:r>
        <w:rPr>
          <w:rFonts w:ascii="Times New Roman;serif" w:hAnsi="Times New Roman;serif"/>
          <w:b w:val="false"/>
          <w:color w:val="000000"/>
          <w:sz w:val="20"/>
        </w:rPr>
        <w:t>the price volatility of bitcoin, the digital currency native to the Bitcoin network;</w:t>
      </w:r>
    </w:p>
    <w:p>
      <w:pPr>
        <w:pStyle w:val="TextBody"/>
        <w:bidi w:val="0"/>
        <w:spacing w:lineRule="auto" w:line="333" w:before="120" w:after="120"/>
        <w:ind w:left="0" w:right="0" w:hanging="360"/>
        <w:jc w:val="both"/>
        <w:rPr/>
      </w:pPr>
      <w:r>
        <w:rPr>
          <w:color w:val="000000"/>
        </w:rPr>
        <w:t>•</w:t>
      </w:r>
      <w:r>
        <w:rPr>
          <w:rFonts w:ascii="Times New Roman;serif" w:hAnsi="Times New Roman;serif"/>
          <w:b w:val="false"/>
          <w:color w:val="000000"/>
          <w:sz w:val="20"/>
        </w:rPr>
        <w:t>our financial and business performance, including financial projections and business metrics;</w:t>
      </w:r>
    </w:p>
    <w:p>
      <w:pPr>
        <w:pStyle w:val="TextBody"/>
        <w:bidi w:val="0"/>
        <w:spacing w:lineRule="auto" w:line="333" w:before="120" w:after="120"/>
        <w:ind w:left="0" w:right="0" w:hanging="360"/>
        <w:jc w:val="both"/>
        <w:rPr/>
      </w:pPr>
      <w:r>
        <w:rPr>
          <w:color w:val="000000"/>
        </w:rPr>
        <w:t>•</w:t>
      </w:r>
      <w:r>
        <w:rPr>
          <w:rFonts w:ascii="Times New Roman;serif" w:hAnsi="Times New Roman;serif"/>
          <w:b w:val="false"/>
          <w:color w:val="000000"/>
          <w:sz w:val="20"/>
        </w:rPr>
        <w:t>the dependence of our revenues on general economic conditions and the willingness of enterprises to invest in technology;</w:t>
      </w:r>
    </w:p>
    <w:p>
      <w:pPr>
        <w:pStyle w:val="TextBody"/>
        <w:bidi w:val="0"/>
        <w:spacing w:lineRule="auto" w:line="333" w:before="120" w:after="120"/>
        <w:ind w:left="0" w:right="0" w:hanging="360"/>
        <w:jc w:val="both"/>
        <w:rPr/>
      </w:pPr>
      <w:r>
        <w:rPr>
          <w:color w:val="000000"/>
        </w:rPr>
        <w:t>•</w:t>
      </w:r>
      <w:r>
        <w:rPr>
          <w:rFonts w:ascii="Times New Roman;serif" w:hAnsi="Times New Roman;serif"/>
          <w:b w:val="false"/>
          <w:color w:val="000000"/>
          <w:sz w:val="20"/>
        </w:rPr>
        <w:t>our ability to establish and maintain proper and effective internal control over financial reporting;</w:t>
      </w:r>
    </w:p>
    <w:p>
      <w:pPr>
        <w:pStyle w:val="TextBody"/>
        <w:bidi w:val="0"/>
        <w:spacing w:lineRule="auto" w:line="333" w:before="120" w:after="120"/>
        <w:ind w:left="0" w:right="0" w:hanging="360"/>
        <w:jc w:val="both"/>
        <w:rPr/>
      </w:pPr>
      <w:r>
        <w:rPr>
          <w:color w:val="000000"/>
        </w:rPr>
        <w:t>•</w:t>
      </w:r>
      <w:r>
        <w:rPr>
          <w:rFonts w:ascii="Times New Roman;serif" w:hAnsi="Times New Roman;serif"/>
          <w:b w:val="false"/>
          <w:color w:val="000000"/>
          <w:sz w:val="20"/>
        </w:rPr>
        <w:t>our commercial partnerships and business relationships;</w:t>
      </w:r>
    </w:p>
    <w:p>
      <w:pPr>
        <w:pStyle w:val="TextBody"/>
        <w:bidi w:val="0"/>
        <w:spacing w:lineRule="auto" w:line="333" w:before="120" w:after="120"/>
        <w:ind w:left="0" w:right="0" w:hanging="360"/>
        <w:jc w:val="both"/>
        <w:rPr/>
      </w:pPr>
      <w:r>
        <w:rPr>
          <w:color w:val="000000"/>
        </w:rPr>
        <w:t>•</w:t>
      </w:r>
      <w:r>
        <w:rPr>
          <w:rFonts w:ascii="Times New Roman;serif" w:hAnsi="Times New Roman;serif"/>
          <w:b w:val="false"/>
          <w:color w:val="000000"/>
          <w:sz w:val="20"/>
        </w:rPr>
        <w:t>the effects of competition and regulation on our business;</w:t>
      </w:r>
    </w:p>
    <w:p>
      <w:pPr>
        <w:pStyle w:val="TextBody"/>
        <w:bidi w:val="0"/>
        <w:spacing w:lineRule="auto" w:line="333" w:before="120" w:after="120"/>
        <w:ind w:left="0" w:right="0" w:hanging="360"/>
        <w:jc w:val="both"/>
        <w:rPr/>
      </w:pPr>
      <w:r>
        <w:rPr>
          <w:color w:val="000000"/>
        </w:rPr>
        <w:t>•</w:t>
      </w:r>
      <w:r>
        <w:rPr>
          <w:rFonts w:ascii="Times New Roman;serif" w:hAnsi="Times New Roman;serif"/>
          <w:b w:val="false"/>
          <w:color w:val="000000"/>
          <w:sz w:val="20"/>
        </w:rPr>
        <w:t>breaches of the security of our information systems, products or services or of the information systems of our third-party providers;</w:t>
      </w:r>
    </w:p>
    <w:p>
      <w:pPr>
        <w:pStyle w:val="TextBody"/>
        <w:bidi w:val="0"/>
        <w:spacing w:lineRule="auto" w:line="333" w:before="120" w:after="120"/>
        <w:ind w:left="0" w:right="0" w:hanging="360"/>
        <w:jc w:val="both"/>
        <w:rPr/>
      </w:pPr>
      <w:r>
        <w:rPr>
          <w:color w:val="000000"/>
        </w:rPr>
        <w:t>•</w:t>
      </w:r>
      <w:r>
        <w:rPr>
          <w:rFonts w:ascii="Times New Roman;serif" w:hAnsi="Times New Roman;serif"/>
          <w:b w:val="false"/>
          <w:color w:val="000000"/>
          <w:sz w:val="20"/>
        </w:rPr>
        <w:t>potential litigation and other claims, including for infringement, which could cause us to incur significant expenses or prevent us from selling our products or services;</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120" w:after="120"/>
        <w:ind w:left="0" w:right="0" w:hanging="360"/>
        <w:jc w:val="both"/>
        <w:rPr/>
      </w:pPr>
      <w:r>
        <w:rPr>
          <w:color w:val="000000"/>
        </w:rPr>
        <w:t>•</w:t>
      </w:r>
      <w:r>
        <w:rPr>
          <w:rFonts w:ascii="Times New Roman;serif" w:hAnsi="Times New Roman;serif"/>
          <w:b w:val="false"/>
          <w:color w:val="000000"/>
          <w:sz w:val="20"/>
        </w:rPr>
        <w:t>environmental, health and safety, laws, regulations, costs and other liabilities; and</w:t>
      </w:r>
    </w:p>
    <w:p>
      <w:pPr>
        <w:pStyle w:val="TextBody"/>
        <w:bidi w:val="0"/>
        <w:spacing w:lineRule="auto" w:line="333" w:before="120" w:after="120"/>
        <w:ind w:left="0" w:right="0" w:hanging="360"/>
        <w:jc w:val="both"/>
        <w:rPr/>
      </w:pPr>
      <w:r>
        <w:rPr>
          <w:color w:val="000000"/>
        </w:rPr>
        <w:t>•</w:t>
      </w:r>
      <w:r>
        <w:rPr>
          <w:rFonts w:ascii="Times New Roman;serif" w:hAnsi="Times New Roman;serif"/>
          <w:b w:val="false"/>
          <w:color w:val="000000"/>
          <w:sz w:val="20"/>
        </w:rPr>
        <w:t>other factors detailed under the section titled “Risk Factors” in the final prospectus contained in our registration statement on Form S-1, filed on July 28, 2026 in connection with our direct listing (the “Prospectus”).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factors identified above should not be construed as an exhaustive list of factors that could affect our future results and should be read in conjunction with the other cautionary statements that are included in this Quarterly Report. Furthermore, new risks and uncertainties arise from time to time, and it is impossible for us to predict those events or how they may affect us. These risks and uncertainties include, but are not limited to, those factors described under the heading “Risk Factors” in the Prospectus. If any of these trends, risks or uncertainties actually occurs or continues, our business, revenue and financial results could be harmed, and the trading prices of our Class A common stock could decline. All forward-looking statements attributable to us are expressly qualified in their entirety by this cautionary 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w:t>
        </w:r>
      </w:hyperlink>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120" w:after="283"/>
        <w:jc w:val="center"/>
        <w:rPr/>
      </w:pPr>
      <w:r>
        <w:rPr/>
      </w:r>
    </w:p>
    <w:tbl>
      <w:tblPr>
        <w:tblW w:w="10205" w:type="dxa"/>
        <w:jc w:val="left"/>
        <w:tblInd w:w="0" w:type="dxa"/>
        <w:tblLayout w:type="fixed"/>
        <w:tblCellMar>
          <w:top w:w="28" w:type="dxa"/>
          <w:left w:w="28" w:type="dxa"/>
          <w:bottom w:w="28" w:type="dxa"/>
          <w:right w:w="28" w:type="dxa"/>
        </w:tblCellMar>
      </w:tblPr>
      <w:tblGrid>
        <w:gridCol w:w="3034"/>
        <w:gridCol w:w="2163"/>
        <w:gridCol w:w="1991"/>
        <w:gridCol w:w="385"/>
        <w:gridCol w:w="385"/>
        <w:gridCol w:w="374"/>
        <w:gridCol w:w="192"/>
        <w:gridCol w:w="192"/>
        <w:gridCol w:w="192"/>
        <w:gridCol w:w="458"/>
        <w:gridCol w:w="458"/>
        <w:gridCol w:w="381"/>
      </w:tblGrid>
      <w:tr>
        <w:trPr/>
        <w:tc>
          <w:tcPr>
            <w:tcW w:w="3034"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18"/>
              </w:rPr>
            </w:pPr>
            <w:r>
              <w:rPr>
                <w:rFonts w:ascii="Times New Roman;serif" w:hAnsi="Times New Roman;serif"/>
                <w:b/>
                <w:color w:val="000000"/>
                <w:sz w:val="18"/>
              </w:rPr>
              <w:t>IONIC DIGITAL INC.</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CONDENSED CONSOLIDATED BALANCE SHEETS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ableContents"/>
              <w:bidi w:val="0"/>
              <w:spacing w:lineRule="auto" w:line="240" w:before="0" w:after="30"/>
              <w:jc w:val="center"/>
              <w:rPr>
                <w:rFonts w:ascii="Times New Roman;serif" w:hAnsi="Times New Roman;serif"/>
                <w:b/>
                <w:color w:val="000000"/>
                <w:sz w:val="18"/>
              </w:rPr>
            </w:pPr>
            <w:r>
              <w:rPr>
                <w:rFonts w:ascii="Times New Roman;serif" w:hAnsi="Times New Roman;serif"/>
                <w:b/>
                <w:color w:val="000000"/>
                <w:sz w:val="18"/>
              </w:rPr>
              <w:t>(in thousands of US $, except share data)</w:t>
            </w:r>
          </w:p>
        </w:tc>
      </w:tr>
      <w:tr>
        <w:trPr/>
        <w:tc>
          <w:tcPr>
            <w:tcW w:w="7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2026</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 xml:space="preserve">Cash and cash equivalents </w:t>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18"/>
              </w:rPr>
            </w:pPr>
            <w:r>
              <w:rPr>
                <w:rFonts w:ascii="Times New Roman;serif" w:hAnsi="Times New Roman;serif"/>
                <w:b w:val="false"/>
                <w:color w:val="000000"/>
                <w:sz w:val="18"/>
              </w:rPr>
              <w:t>$    415,738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18"/>
              </w:rPr>
            </w:pPr>
            <w:r>
              <w:rPr>
                <w:rFonts w:ascii="Times New Roman;serif" w:hAnsi="Times New Roman;serif"/>
                <w:b w:val="false"/>
                <w:color w:val="000000"/>
                <w:sz w:val="18"/>
              </w:rPr>
              <w:t>$    43,510    </w:t>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Cryptocurrency assets</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168,680    </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237,947    </w:t>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 xml:space="preserve">Other receivables, current (net of $0.0 million and $5.1 million allowance for credit losses as of June 30, 2026 and December 31, 2025, respectively) </w:t>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48,994    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10,460    </w:t>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6,966    </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11,427    </w:t>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2,187    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33" w:after="30"/>
              <w:jc w:val="right"/>
              <w:rPr>
                <w:color w:val="000000"/>
              </w:rPr>
            </w:pPr>
            <w:r>
              <w:rPr>
                <w:color w:val="000000"/>
              </w:rPr>
              <w:t>    </w:t>
            </w:r>
            <w:r>
              <w:rPr>
                <w:rFonts w:ascii="Times New Roman;serif" w:hAnsi="Times New Roman;serif"/>
                <w:b w:val="false"/>
                <w:color w:val="000000"/>
                <w:sz w:val="18"/>
              </w:rPr>
              <w:t>642,565    </w:t>
            </w:r>
          </w:p>
        </w:tc>
        <w:tc>
          <w:tcPr>
            <w:tcW w:w="5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33" w:after="30"/>
              <w:jc w:val="right"/>
              <w:rPr>
                <w:color w:val="000000"/>
              </w:rPr>
            </w:pPr>
            <w:r>
              <w:rPr>
                <w:color w:val="000000"/>
              </w:rPr>
              <w:t>    </w:t>
            </w:r>
            <w:r>
              <w:rPr>
                <w:rFonts w:ascii="Times New Roman;serif" w:hAnsi="Times New Roman;serif"/>
                <w:b w:val="false"/>
                <w:color w:val="000000"/>
                <w:sz w:val="18"/>
              </w:rPr>
              <w:t>303,344    </w:t>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Non-current assets:</w:t>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65,641    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76,156    </w:t>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Deferred initial direct leasing costs</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6,466    </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6,803    </w:t>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Other receivables, non-current (net of $3.3 million allowance for credit losses as of June 30, 2026 and December 31, 2025)</w:t>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370    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370    </w:t>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Deposits and other non-current assets</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2,211    </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2,253    </w:t>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161,608    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161,608</w:t>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43,657    </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54,470    </w:t>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8"/>
              </w:rPr>
            </w:pPr>
            <w:r>
              <w:rPr>
                <w:rFonts w:ascii="Times New Roman;serif" w:hAnsi="Times New Roman;serif"/>
                <w:b w:val="false"/>
                <w:color w:val="000000"/>
                <w:sz w:val="18"/>
              </w:rPr>
              <w:t>Total non-current assets</w:t>
            </w:r>
          </w:p>
        </w:tc>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color w:val="000000"/>
              </w:rPr>
            </w:pPr>
            <w:r>
              <w:rPr>
                <w:color w:val="000000"/>
              </w:rPr>
              <w:t>    </w:t>
            </w:r>
            <w:r>
              <w:rPr>
                <w:rFonts w:ascii="Times New Roman;serif" w:hAnsi="Times New Roman;serif"/>
                <w:b w:val="false"/>
                <w:color w:val="000000"/>
                <w:sz w:val="18"/>
              </w:rPr>
              <w:t>279,953    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color w:val="000000"/>
              </w:rPr>
            </w:pPr>
            <w:r>
              <w:rPr>
                <w:color w:val="000000"/>
              </w:rPr>
              <w:t>    </w:t>
            </w:r>
            <w:r>
              <w:rPr>
                <w:rFonts w:ascii="Times New Roman;serif" w:hAnsi="Times New Roman;serif"/>
                <w:b w:val="false"/>
                <w:color w:val="000000"/>
                <w:sz w:val="18"/>
              </w:rPr>
              <w:t>301,660    </w:t>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1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18"/>
              </w:rPr>
            </w:pPr>
            <w:r>
              <w:rPr>
                <w:rFonts w:ascii="Times New Roman;serif" w:hAnsi="Times New Roman;serif"/>
                <w:b/>
                <w:color w:val="000000"/>
                <w:sz w:val="18"/>
              </w:rPr>
              <w:t>$    922,518    </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18"/>
              </w:rPr>
            </w:pPr>
            <w:r>
              <w:rPr>
                <w:rFonts w:ascii="Times New Roman;serif" w:hAnsi="Times New Roman;serif"/>
                <w:b/>
                <w:color w:val="000000"/>
                <w:sz w:val="18"/>
              </w:rPr>
              <w:t>$    605,004    </w:t>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245"/>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Deferred digital infrastructure leasing revenue</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39,793    </w:t>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1,178    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1,720    </w:t>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25,167    </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19,159    </w:t>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color w:val="000000"/>
              </w:rPr>
            </w:pPr>
            <w:r>
              <w:rPr>
                <w:color w:val="000000"/>
              </w:rPr>
              <w:t>    </w:t>
            </w:r>
            <w:r>
              <w:rPr>
                <w:rFonts w:ascii="Times New Roman;serif" w:hAnsi="Times New Roman;serif"/>
                <w:b w:val="false"/>
                <w:color w:val="000000"/>
                <w:sz w:val="18"/>
              </w:rPr>
              <w:t>26,345    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color w:val="000000"/>
              </w:rPr>
            </w:pPr>
            <w:r>
              <w:rPr>
                <w:color w:val="000000"/>
              </w:rPr>
              <w:t>    </w:t>
            </w:r>
            <w:r>
              <w:rPr>
                <w:rFonts w:ascii="Times New Roman;serif" w:hAnsi="Times New Roman;serif"/>
                <w:b w:val="false"/>
                <w:color w:val="000000"/>
                <w:sz w:val="18"/>
              </w:rPr>
              <w:t>60,672    </w:t>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color w:val="000000"/>
              </w:rPr>
            </w:pPr>
            <w:r>
              <w:rPr>
                <w:color w:val="000000"/>
              </w:rPr>
              <w:t> </w:t>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Non-current portion of lease liability</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138    </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170    </w:t>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Warrant liability</w:t>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34,061    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871    </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755    </w:t>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333" w:before="43" w:after="30"/>
              <w:jc w:val="left"/>
              <w:rPr>
                <w:rFonts w:ascii="Times New Roman;serif" w:hAnsi="Times New Roman;serif"/>
                <w:b w:val="false"/>
                <w:color w:val="000000"/>
                <w:sz w:val="18"/>
              </w:rPr>
            </w:pPr>
            <w:r>
              <w:rPr>
                <w:rFonts w:ascii="Times New Roman;serif" w:hAnsi="Times New Roman;serif"/>
                <w:b w:val="false"/>
                <w:color w:val="000000"/>
                <w:sz w:val="18"/>
              </w:rPr>
              <w:t>Total non-current liabilities</w:t>
            </w:r>
          </w:p>
        </w:tc>
        <w:tc>
          <w:tcPr>
            <w:tcW w:w="11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33" w:before="43" w:after="30"/>
              <w:jc w:val="right"/>
              <w:rPr>
                <w:color w:val="000000"/>
              </w:rPr>
            </w:pPr>
            <w:r>
              <w:rPr>
                <w:color w:val="000000"/>
              </w:rPr>
              <w:t>    </w:t>
            </w:r>
            <w:r>
              <w:rPr>
                <w:rFonts w:ascii="Times New Roman;serif" w:hAnsi="Times New Roman;serif"/>
                <w:b w:val="false"/>
                <w:color w:val="000000"/>
                <w:sz w:val="18"/>
              </w:rPr>
              <w:t>35,070    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9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33" w:before="43" w:after="30"/>
              <w:jc w:val="right"/>
              <w:rPr>
                <w:color w:val="000000"/>
              </w:rPr>
            </w:pPr>
            <w:r>
              <w:rPr>
                <w:color w:val="000000"/>
              </w:rPr>
              <w:t>    </w:t>
            </w:r>
            <w:r>
              <w:rPr>
                <w:rFonts w:ascii="Times New Roman;serif" w:hAnsi="Times New Roman;serif"/>
                <w:b w:val="false"/>
                <w:color w:val="000000"/>
                <w:sz w:val="18"/>
              </w:rPr>
              <w:t>925    </w:t>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1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18"/>
              </w:rPr>
            </w:pPr>
            <w:r>
              <w:rPr>
                <w:rFonts w:ascii="Times New Roman;serif" w:hAnsi="Times New Roman;serif"/>
                <w:b/>
                <w:color w:val="000000"/>
                <w:sz w:val="18"/>
              </w:rPr>
              <w:t>$    61,415    </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18"/>
              </w:rPr>
            </w:pPr>
            <w:r>
              <w:rPr>
                <w:rFonts w:ascii="Times New Roman;serif" w:hAnsi="Times New Roman;serif"/>
                <w:b/>
                <w:color w:val="000000"/>
                <w:sz w:val="18"/>
              </w:rPr>
              <w:t>$    61,597    </w:t>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color w:val="000000"/>
              </w:rPr>
            </w:pPr>
            <w:r>
              <w:rPr>
                <w:color w:val="000000"/>
              </w:rPr>
              <w:t> </w:t>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15)</w:t>
            </w:r>
          </w:p>
        </w:tc>
        <w:tc>
          <w:tcPr>
            <w:tcW w:w="1144"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Mezzanine Equity</w:t>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270"/>
              <w:jc w:val="left"/>
              <w:rPr>
                <w:color w:val="000000"/>
              </w:rPr>
            </w:pPr>
            <w:r>
              <w:rPr>
                <w:color w:val="000000"/>
              </w:rPr>
              <w:t> </w:t>
            </w:r>
            <w:r>
              <w:rPr>
                <w:rFonts w:ascii="Times New Roman;serif" w:hAnsi="Times New Roman;serif"/>
                <w:b w:val="false"/>
                <w:color w:val="000000"/>
                <w:sz w:val="18"/>
              </w:rPr>
              <w:t>Series A convertible preferred stock, $0.00001 par value, 7,547,166 and zero shares authorized, 7,547,166 and zero issued and outstanding as of June 30, 2026 and December 31, 2025; aggregate liquidation preference of $600.0 million and $0.0 million as of June 30, 2026 and December 31, 2025, respectively</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350,547    </w:t>
            </w:r>
          </w:p>
        </w:tc>
        <w:tc>
          <w:tcPr>
            <w:tcW w:w="576"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Preferred stock, $0.00001 par value, 15,000,000 shares authorized, none issued and outstanding as of June 30, 2026 and December 31, 2025</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Series Z preferred stock, $0.00001 par value, 40,000 and zero shares authorized, 40,000 and zero issued and outstanding as of June 30, 2026 and December 31, 2025, respectively</w:t>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576"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Class A common stock, $0.00001 par value, 1,000,000,000 shares authorized, 37,374,261 shares issued and outstanding as of June 30, 2026 and December 31, 2025</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766,423    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750,985    </w:t>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(255,867)</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18"/>
              </w:rPr>
              <w:t>(207,578)</w:t>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40" w:before="43" w:after="30"/>
              <w:ind w:left="0" w:right="0" w:hanging="270"/>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11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43" w:after="30"/>
              <w:jc w:val="right"/>
              <w:rPr>
                <w:rFonts w:ascii="Times New Roman;serif" w:hAnsi="Times New Roman;serif"/>
                <w:b/>
                <w:color w:val="000000"/>
                <w:sz w:val="18"/>
              </w:rPr>
            </w:pPr>
            <w:r>
              <w:rPr>
                <w:rFonts w:ascii="Times New Roman;serif" w:hAnsi="Times New Roman;serif"/>
                <w:b/>
                <w:color w:val="000000"/>
                <w:sz w:val="18"/>
              </w:rPr>
              <w:t>$    510,556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43" w:after="30"/>
              <w:jc w:val="right"/>
              <w:rPr>
                <w:rFonts w:ascii="Times New Roman;serif" w:hAnsi="Times New Roman;serif"/>
                <w:b/>
                <w:color w:val="000000"/>
                <w:sz w:val="18"/>
              </w:rPr>
            </w:pPr>
            <w:r>
              <w:rPr>
                <w:rFonts w:ascii="Times New Roman;serif" w:hAnsi="Times New Roman;serif"/>
                <w:b/>
                <w:color w:val="000000"/>
                <w:sz w:val="18"/>
              </w:rPr>
              <w:t>$    543,407    </w:t>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MEZZANINE EQUITY, AND STOCKHOLDERS’ EQUITY</w:t>
            </w:r>
          </w:p>
        </w:tc>
        <w:tc>
          <w:tcPr>
            <w:tcW w:w="1144"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43" w:after="30"/>
              <w:jc w:val="right"/>
              <w:rPr>
                <w:rFonts w:ascii="Times New Roman;serif" w:hAnsi="Times New Roman;serif"/>
                <w:b/>
                <w:color w:val="000000"/>
                <w:sz w:val="18"/>
              </w:rPr>
            </w:pPr>
            <w:r>
              <w:rPr>
                <w:rFonts w:ascii="Times New Roman;serif" w:hAnsi="Times New Roman;serif"/>
                <w:b/>
                <w:color w:val="000000"/>
                <w:sz w:val="18"/>
              </w:rPr>
              <w:t>$    922,518    </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43" w:after="30"/>
              <w:jc w:val="right"/>
              <w:rPr>
                <w:rFonts w:ascii="Times New Roman;serif" w:hAnsi="Times New Roman;serif"/>
                <w:b/>
                <w:color w:val="000000"/>
                <w:sz w:val="18"/>
              </w:rPr>
            </w:pPr>
            <w:r>
              <w:rPr>
                <w:rFonts w:ascii="Times New Roman;serif" w:hAnsi="Times New Roman;serif"/>
                <w:b/>
                <w:color w:val="000000"/>
                <w:sz w:val="18"/>
              </w:rPr>
              <w:t>$    605,004    </w:t>
            </w:r>
          </w:p>
        </w:tc>
      </w:tr>
    </w:tbl>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w:t>
        </w:r>
      </w:hyperlink>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120" w:after="283"/>
        <w:jc w:val="center"/>
        <w:rPr/>
      </w:pPr>
      <w:r>
        <w:rPr/>
      </w:r>
    </w:p>
    <w:p>
      <w:pPr>
        <w:pStyle w:val="TextBody"/>
        <w:bidi w:val="0"/>
        <w:spacing w:lineRule="auto" w:line="333" w:before="0" w:after="120"/>
        <w:jc w:val="center"/>
        <w:rPr/>
      </w:pPr>
      <w:r>
        <w:rPr>
          <w:rFonts w:ascii="Times New Roman;serif" w:hAnsi="Times New Roman;serif"/>
          <w:b w:val="false"/>
          <w:color w:val="000000"/>
          <w:sz w:val="20"/>
        </w:rPr>
        <w:t>S</w:t>
      </w:r>
      <w:r>
        <w:rPr>
          <w:rFonts w:ascii="Times New Roman;serif" w:hAnsi="Times New Roman;serif"/>
          <w:b w:val="false"/>
          <w:i/>
          <w:color w:val="000000"/>
          <w:sz w:val="20"/>
        </w:rPr>
        <w:t>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IONIC DIGITAL INC.</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of US $, except per share data)</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522"/>
        <w:gridCol w:w="1304"/>
        <w:gridCol w:w="1317"/>
        <w:gridCol w:w="425"/>
        <w:gridCol w:w="425"/>
        <w:gridCol w:w="325"/>
        <w:gridCol w:w="153"/>
        <w:gridCol w:w="153"/>
        <w:gridCol w:w="153"/>
        <w:gridCol w:w="425"/>
        <w:gridCol w:w="425"/>
        <w:gridCol w:w="350"/>
        <w:gridCol w:w="109"/>
        <w:gridCol w:w="109"/>
        <w:gridCol w:w="109"/>
        <w:gridCol w:w="425"/>
        <w:gridCol w:w="425"/>
        <w:gridCol w:w="383"/>
        <w:gridCol w:w="139"/>
        <w:gridCol w:w="139"/>
        <w:gridCol w:w="139"/>
        <w:gridCol w:w="386"/>
        <w:gridCol w:w="386"/>
        <w:gridCol w:w="479"/>
      </w:tblGrid>
      <w:tr>
        <w:trPr/>
        <w:tc>
          <w:tcPr>
            <w:tcW w:w="1522"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4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color w:val="000000"/>
                <w:sz w:val="20"/>
              </w:rPr>
            </w:pPr>
            <w:r>
              <w:rPr>
                <w:rFonts w:ascii="Times New Roman;serif" w:hAnsi="Times New Roman;serif"/>
                <w:b/>
                <w:color w:val="000000"/>
                <w:sz w:val="20"/>
              </w:rPr>
              <w:t>Revenue:</w:t>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Cryptocurrency mining</w:t>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    4,798    </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37,192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    12,199    </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78,273    </w:t>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Digital infrastructure leasing</w:t>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right"/>
              <w:rPr>
                <w:color w:val="000000"/>
              </w:rPr>
            </w:pPr>
            <w:r>
              <w:rPr>
                <w:color w:val="000000"/>
              </w:rPr>
              <w:t>    </w:t>
            </w:r>
            <w:r>
              <w:rPr>
                <w:rFonts w:ascii="Times New Roman;serif" w:hAnsi="Times New Roman;serif"/>
                <w:b w:val="false"/>
                <w:color w:val="000000"/>
                <w:sz w:val="20"/>
              </w:rPr>
              <w:t>43,849    </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right"/>
              <w:rPr>
                <w:color w:val="000000"/>
              </w:rPr>
            </w:pPr>
            <w:r>
              <w:rPr>
                <w:color w:val="000000"/>
              </w:rPr>
              <w:t>    </w:t>
            </w:r>
            <w:r>
              <w:rPr>
                <w:rFonts w:ascii="Times New Roman;serif" w:hAnsi="Times New Roman;serif"/>
                <w:b w:val="false"/>
                <w:color w:val="000000"/>
                <w:sz w:val="20"/>
              </w:rPr>
              <w:t>87,888    </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right"/>
              <w:rPr>
                <w:color w:val="000000"/>
              </w:rPr>
            </w:pPr>
            <w:r>
              <w:rPr>
                <w:color w:val="000000"/>
              </w:rPr>
              <w:t>    —    </w:t>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color w:val="000000"/>
                <w:sz w:val="20"/>
              </w:rPr>
            </w:pPr>
            <w:r>
              <w:rPr>
                <w:rFonts w:ascii="Times New Roman;serif" w:hAnsi="Times New Roman;serif"/>
                <w:b/>
                <w:color w:val="000000"/>
                <w:sz w:val="20"/>
              </w:rPr>
              <w:t>Total Revenue</w:t>
            </w:r>
          </w:p>
        </w:tc>
        <w:tc>
          <w:tcPr>
            <w:tcW w:w="11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0" w:after="0"/>
              <w:jc w:val="right"/>
              <w:rPr>
                <w:color w:val="000000"/>
              </w:rPr>
            </w:pPr>
            <w:r>
              <w:rPr>
                <w:color w:val="000000"/>
              </w:rPr>
              <w:t>    </w:t>
            </w:r>
            <w:r>
              <w:rPr>
                <w:rFonts w:ascii="Times New Roman;serif" w:hAnsi="Times New Roman;serif"/>
                <w:b w:val="false"/>
                <w:color w:val="000000"/>
                <w:sz w:val="20"/>
              </w:rPr>
              <w:t>48,647    </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0" w:after="0"/>
              <w:jc w:val="right"/>
              <w:rPr>
                <w:color w:val="000000"/>
              </w:rPr>
            </w:pPr>
            <w:r>
              <w:rPr>
                <w:color w:val="000000"/>
              </w:rPr>
              <w:t>    </w:t>
            </w:r>
            <w:r>
              <w:rPr>
                <w:rFonts w:ascii="Times New Roman;serif" w:hAnsi="Times New Roman;serif"/>
                <w:b w:val="false"/>
                <w:color w:val="000000"/>
                <w:sz w:val="20"/>
              </w:rPr>
              <w:t>37,192    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0" w:after="0"/>
              <w:jc w:val="right"/>
              <w:rPr>
                <w:color w:val="000000"/>
              </w:rPr>
            </w:pPr>
            <w:r>
              <w:rPr>
                <w:color w:val="000000"/>
              </w:rPr>
              <w:t>    </w:t>
            </w:r>
            <w:r>
              <w:rPr>
                <w:rFonts w:ascii="Times New Roman;serif" w:hAnsi="Times New Roman;serif"/>
                <w:b w:val="false"/>
                <w:color w:val="000000"/>
                <w:sz w:val="20"/>
              </w:rPr>
              <w:t>100,087    </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0" w:after="0"/>
              <w:jc w:val="right"/>
              <w:rPr>
                <w:color w:val="000000"/>
              </w:rPr>
            </w:pPr>
            <w:r>
              <w:rPr>
                <w:color w:val="000000"/>
              </w:rPr>
              <w:t>    </w:t>
            </w:r>
            <w:r>
              <w:rPr>
                <w:rFonts w:ascii="Times New Roman;serif" w:hAnsi="Times New Roman;serif"/>
                <w:b w:val="false"/>
                <w:color w:val="000000"/>
                <w:sz w:val="20"/>
              </w:rPr>
              <w:t>78,273    </w:t>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Cost of mining revenues, exclusive of depreciation</w:t>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3,060    </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22,256    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8,663    </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47,469    </w:t>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Cost of digital infrastructure solutions revenues, exclusive of depreciation</w:t>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209    </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674    </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4,903    </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16,917    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10,479    </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33,374    </w:t>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19,465    </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10,796    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35,706    </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17,907    </w:t>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(Gain) loss on fair value of cryptocurrency</w:t>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28,204    </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(46,780)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81,527    </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(1,332)</w:t>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Realized gain on sale of cryptocurrency assets</w:t>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(14,796)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(32,410)</w:t>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(Gain) loss on sale of property and equipment</w:t>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847    </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544    </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(21)</w:t>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w:t>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195    </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250    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382    </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500    </w:t>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333" w:before="43" w:after="3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33" w:before="43" w:after="30"/>
              <w:jc w:val="right"/>
              <w:rPr>
                <w:color w:val="000000"/>
              </w:rPr>
            </w:pPr>
            <w:r>
              <w:rPr>
                <w:color w:val="000000"/>
              </w:rPr>
              <w:t>    </w:t>
            </w:r>
            <w:r>
              <w:rPr>
                <w:rFonts w:ascii="Times New Roman;serif" w:hAnsi="Times New Roman;serif"/>
                <w:b w:val="false"/>
                <w:color w:val="000000"/>
                <w:sz w:val="20"/>
              </w:rPr>
              <w:t>56,883    </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33" w:before="43" w:after="30"/>
              <w:jc w:val="right"/>
              <w:rPr>
                <w:color w:val="000000"/>
              </w:rPr>
            </w:pPr>
            <w:r>
              <w:rPr>
                <w:color w:val="000000"/>
              </w:rPr>
              <w:t>    </w:t>
            </w:r>
            <w:r>
              <w:rPr>
                <w:rFonts w:ascii="Times New Roman;serif" w:hAnsi="Times New Roman;serif"/>
                <w:b w:val="false"/>
                <w:color w:val="000000"/>
                <w:sz w:val="20"/>
              </w:rPr>
              <w:t>(11,359)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3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33" w:before="43" w:after="30"/>
              <w:jc w:val="right"/>
              <w:rPr>
                <w:color w:val="000000"/>
              </w:rPr>
            </w:pPr>
            <w:r>
              <w:rPr>
                <w:color w:val="000000"/>
              </w:rPr>
              <w:t>    </w:t>
            </w:r>
            <w:r>
              <w:rPr>
                <w:rFonts w:ascii="Times New Roman;serif" w:hAnsi="Times New Roman;serif"/>
                <w:b w:val="false"/>
                <w:color w:val="000000"/>
                <w:sz w:val="20"/>
              </w:rPr>
              <w:t>137,975    </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33" w:before="43" w:after="30"/>
              <w:jc w:val="right"/>
              <w:rPr>
                <w:color w:val="000000"/>
              </w:rPr>
            </w:pPr>
            <w:r>
              <w:rPr>
                <w:color w:val="000000"/>
              </w:rPr>
              <w:t>    </w:t>
            </w:r>
            <w:r>
              <w:rPr>
                <w:rFonts w:ascii="Times New Roman;serif" w:hAnsi="Times New Roman;serif"/>
                <w:b w:val="false"/>
                <w:color w:val="000000"/>
                <w:sz w:val="20"/>
              </w:rPr>
              <w:t>65,487    </w:t>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1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43" w:after="30"/>
              <w:jc w:val="right"/>
              <w:rPr>
                <w:color w:val="000000"/>
              </w:rPr>
            </w:pPr>
            <w:r>
              <w:rPr>
                <w:color w:val="000000"/>
              </w:rPr>
              <w:t>    </w:t>
            </w:r>
            <w:r>
              <w:rPr>
                <w:rFonts w:ascii="Times New Roman;serif" w:hAnsi="Times New Roman;serif"/>
                <w:b/>
                <w:color w:val="000000"/>
                <w:sz w:val="20"/>
              </w:rPr>
              <w:t>(8,236)</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43" w:after="30"/>
              <w:jc w:val="right"/>
              <w:rPr>
                <w:color w:val="000000"/>
              </w:rPr>
            </w:pPr>
            <w:r>
              <w:rPr>
                <w:color w:val="000000"/>
              </w:rPr>
              <w:t>    </w:t>
            </w:r>
            <w:r>
              <w:rPr>
                <w:rFonts w:ascii="Times New Roman;serif" w:hAnsi="Times New Roman;serif"/>
                <w:b/>
                <w:color w:val="000000"/>
                <w:sz w:val="20"/>
              </w:rPr>
              <w:t>48,551    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43" w:after="30"/>
              <w:jc w:val="right"/>
              <w:rPr>
                <w:color w:val="000000"/>
              </w:rPr>
            </w:pPr>
            <w:r>
              <w:rPr>
                <w:color w:val="000000"/>
              </w:rPr>
              <w:t>    </w:t>
            </w:r>
            <w:r>
              <w:rPr>
                <w:rFonts w:ascii="Times New Roman;serif" w:hAnsi="Times New Roman;serif"/>
                <w:b/>
                <w:color w:val="000000"/>
                <w:sz w:val="20"/>
              </w:rPr>
              <w:t>(37,888)</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43" w:after="30"/>
              <w:jc w:val="right"/>
              <w:rPr>
                <w:color w:val="000000"/>
              </w:rPr>
            </w:pPr>
            <w:r>
              <w:rPr>
                <w:color w:val="000000"/>
              </w:rPr>
              <w:t>    </w:t>
            </w:r>
            <w:r>
              <w:rPr>
                <w:rFonts w:ascii="Times New Roman;serif" w:hAnsi="Times New Roman;serif"/>
                <w:b/>
                <w:color w:val="000000"/>
                <w:sz w:val="20"/>
              </w:rPr>
              <w:t>12,786    </w:t>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179    </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359    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506    </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700    </w:t>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Realized loss on cryptocurrencies derivatives</w:t>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(130)</w:t>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Loss on litigation settlement</w:t>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(8,079)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(8,079)</w:t>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333" w:before="43" w:after="30"/>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33" w:before="43" w:after="30"/>
              <w:jc w:val="right"/>
              <w:rPr>
                <w:color w:val="000000"/>
              </w:rPr>
            </w:pPr>
            <w:r>
              <w:rPr>
                <w:color w:val="000000"/>
              </w:rPr>
              <w:t>    </w:t>
            </w:r>
            <w:r>
              <w:rPr>
                <w:rFonts w:ascii="Times New Roman;serif" w:hAnsi="Times New Roman;serif"/>
                <w:b w:val="false"/>
                <w:color w:val="000000"/>
                <w:sz w:val="20"/>
              </w:rPr>
              <w:t>179    </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33" w:before="43" w:after="30"/>
              <w:jc w:val="right"/>
              <w:rPr>
                <w:color w:val="000000"/>
              </w:rPr>
            </w:pPr>
            <w:r>
              <w:rPr>
                <w:color w:val="000000"/>
              </w:rPr>
              <w:t>    </w:t>
            </w:r>
            <w:r>
              <w:rPr>
                <w:rFonts w:ascii="Times New Roman;serif" w:hAnsi="Times New Roman;serif"/>
                <w:b w:val="false"/>
                <w:color w:val="000000"/>
                <w:sz w:val="20"/>
              </w:rPr>
              <w:t>(7,850)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3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33" w:before="43" w:after="30"/>
              <w:jc w:val="right"/>
              <w:rPr>
                <w:color w:val="000000"/>
              </w:rPr>
            </w:pPr>
            <w:r>
              <w:rPr>
                <w:color w:val="000000"/>
              </w:rPr>
              <w:t>    </w:t>
            </w:r>
            <w:r>
              <w:rPr>
                <w:rFonts w:ascii="Times New Roman;serif" w:hAnsi="Times New Roman;serif"/>
                <w:b w:val="false"/>
                <w:color w:val="000000"/>
                <w:sz w:val="20"/>
              </w:rPr>
              <w:t>506    </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33" w:before="43" w:after="30"/>
              <w:jc w:val="right"/>
              <w:rPr>
                <w:color w:val="000000"/>
              </w:rPr>
            </w:pPr>
            <w:r>
              <w:rPr>
                <w:color w:val="000000"/>
              </w:rPr>
              <w:t>    </w:t>
            </w:r>
            <w:r>
              <w:rPr>
                <w:rFonts w:ascii="Times New Roman;serif" w:hAnsi="Times New Roman;serif"/>
                <w:b w:val="false"/>
                <w:color w:val="000000"/>
                <w:sz w:val="20"/>
              </w:rPr>
              <w:t>(7,509)</w:t>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333" w:before="43" w:after="30"/>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1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33" w:before="43" w:after="30"/>
              <w:jc w:val="right"/>
              <w:rPr>
                <w:color w:val="000000"/>
              </w:rPr>
            </w:pPr>
            <w:r>
              <w:rPr>
                <w:color w:val="000000"/>
              </w:rPr>
              <w:t>    </w:t>
            </w:r>
            <w:r>
              <w:rPr>
                <w:rFonts w:ascii="Times New Roman;serif" w:hAnsi="Times New Roman;serif"/>
                <w:b w:val="false"/>
                <w:color w:val="000000"/>
                <w:sz w:val="20"/>
              </w:rPr>
              <w:t>(8,057)</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33" w:before="43" w:after="30"/>
              <w:jc w:val="right"/>
              <w:rPr>
                <w:color w:val="000000"/>
              </w:rPr>
            </w:pPr>
            <w:r>
              <w:rPr>
                <w:color w:val="000000"/>
              </w:rPr>
              <w:t>    </w:t>
            </w:r>
            <w:r>
              <w:rPr>
                <w:rFonts w:ascii="Times New Roman;serif" w:hAnsi="Times New Roman;serif"/>
                <w:b w:val="false"/>
                <w:color w:val="000000"/>
                <w:sz w:val="20"/>
              </w:rPr>
              <w:t>40,701    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3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33" w:before="43" w:after="30"/>
              <w:jc w:val="right"/>
              <w:rPr>
                <w:color w:val="000000"/>
              </w:rPr>
            </w:pPr>
            <w:r>
              <w:rPr>
                <w:color w:val="000000"/>
              </w:rPr>
              <w:t>    </w:t>
            </w:r>
            <w:r>
              <w:rPr>
                <w:rFonts w:ascii="Times New Roman;serif" w:hAnsi="Times New Roman;serif"/>
                <w:b w:val="false"/>
                <w:color w:val="000000"/>
                <w:sz w:val="20"/>
              </w:rPr>
              <w:t>(37,382)</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33" w:before="43" w:after="30"/>
              <w:jc w:val="right"/>
              <w:rPr>
                <w:color w:val="000000"/>
              </w:rPr>
            </w:pPr>
            <w:r>
              <w:rPr>
                <w:color w:val="000000"/>
              </w:rPr>
              <w:t>    </w:t>
            </w:r>
            <w:r>
              <w:rPr>
                <w:rFonts w:ascii="Times New Roman;serif" w:hAnsi="Times New Roman;serif"/>
                <w:b w:val="false"/>
                <w:color w:val="000000"/>
                <w:sz w:val="20"/>
              </w:rPr>
              <w:t>5,277    </w:t>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27,248    </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8,787    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10,907    </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1,394    </w:t>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1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43" w:after="30"/>
              <w:jc w:val="right"/>
              <w:rPr>
                <w:rFonts w:ascii="Times New Roman;serif" w:hAnsi="Times New Roman;serif"/>
                <w:b/>
                <w:color w:val="000000"/>
                <w:sz w:val="20"/>
              </w:rPr>
            </w:pPr>
            <w:r>
              <w:rPr>
                <w:rFonts w:ascii="Times New Roman;serif" w:hAnsi="Times New Roman;serif"/>
                <w:b/>
                <w:color w:val="000000"/>
                <w:sz w:val="20"/>
              </w:rPr>
              <w:t>$    (35,305)</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43" w:after="30"/>
              <w:jc w:val="right"/>
              <w:rPr>
                <w:rFonts w:ascii="Times New Roman;serif" w:hAnsi="Times New Roman;serif"/>
                <w:b/>
                <w:color w:val="000000"/>
                <w:sz w:val="20"/>
              </w:rPr>
            </w:pPr>
            <w:r>
              <w:rPr>
                <w:rFonts w:ascii="Times New Roman;serif" w:hAnsi="Times New Roman;serif"/>
                <w:b/>
                <w:color w:val="000000"/>
                <w:sz w:val="20"/>
              </w:rPr>
              <w:t>$    31,914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43" w:after="30"/>
              <w:jc w:val="right"/>
              <w:rPr>
                <w:rFonts w:ascii="Times New Roman;serif" w:hAnsi="Times New Roman;serif"/>
                <w:b/>
                <w:color w:val="000000"/>
                <w:sz w:val="20"/>
              </w:rPr>
            </w:pPr>
            <w:r>
              <w:rPr>
                <w:rFonts w:ascii="Times New Roman;serif" w:hAnsi="Times New Roman;serif"/>
                <w:b/>
                <w:color w:val="000000"/>
                <w:sz w:val="20"/>
              </w:rPr>
              <w:t>$    (48,289)</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43" w:after="30"/>
              <w:jc w:val="right"/>
              <w:rPr>
                <w:rFonts w:ascii="Times New Roman;serif" w:hAnsi="Times New Roman;serif"/>
                <w:b/>
                <w:color w:val="000000"/>
                <w:sz w:val="20"/>
              </w:rPr>
            </w:pPr>
            <w:r>
              <w:rPr>
                <w:rFonts w:ascii="Times New Roman;serif" w:hAnsi="Times New Roman;serif"/>
                <w:b/>
                <w:color w:val="000000"/>
                <w:sz w:val="20"/>
              </w:rPr>
              <w:t>$    3,883    </w:t>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(loss) per share</w:t>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(0.94)</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0.85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(1.29)</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0.10    </w:t>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333" w:before="43" w:after="30"/>
              <w:ind w:left="0" w:right="0" w:hanging="202"/>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used in computing net loss per share, basic and diluted</w:t>
            </w:r>
          </w:p>
        </w:tc>
        <w:tc>
          <w:tcPr>
            <w:tcW w:w="1175" w:type="dxa"/>
            <w:gridSpan w:val="3"/>
            <w:tcBorders>
              <w:top w:val="single" w:sz="4" w:space="0" w:color="000000"/>
              <w:bottom w:val="single" w:sz="6" w:space="0" w:color="000000"/>
            </w:tcBorders>
            <w:shd w:fill="FFFFFF" w:val="clear"/>
            <w:tcMar>
              <w:top w:w="30" w:type="dxa"/>
              <w:left w:w="0" w:type="dxa"/>
              <w:bottom w:w="30" w:type="dxa"/>
              <w:right w:w="0" w:type="dxa"/>
            </w:tcMar>
            <w:vAlign w:val="center"/>
          </w:tcPr>
          <w:p>
            <w:pPr>
              <w:pStyle w:val="TableContents"/>
              <w:bidi w:val="0"/>
              <w:spacing w:lineRule="auto" w:line="333" w:before="43" w:after="30"/>
              <w:jc w:val="right"/>
              <w:rPr>
                <w:rFonts w:ascii="Times New Roman;serif" w:hAnsi="Times New Roman;serif"/>
                <w:b w:val="false"/>
                <w:color w:val="000000"/>
                <w:sz w:val="20"/>
              </w:rPr>
            </w:pPr>
            <w:r>
              <w:rPr>
                <w:rFonts w:ascii="Times New Roman;serif" w:hAnsi="Times New Roman;serif"/>
                <w:b w:val="false"/>
                <w:color w:val="000000"/>
                <w:sz w:val="20"/>
              </w:rPr>
              <w:t>37,374,261</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000000"/>
              <w:bottom w:val="single" w:sz="6" w:space="0" w:color="000000"/>
            </w:tcBorders>
            <w:shd w:fill="FFFFFF" w:val="clear"/>
            <w:tcMar>
              <w:top w:w="30" w:type="dxa"/>
              <w:left w:w="0" w:type="dxa"/>
              <w:bottom w:w="30" w:type="dxa"/>
              <w:right w:w="0" w:type="dxa"/>
            </w:tcMar>
            <w:vAlign w:val="center"/>
          </w:tcPr>
          <w:p>
            <w:pPr>
              <w:pStyle w:val="TableContents"/>
              <w:bidi w:val="0"/>
              <w:spacing w:lineRule="auto" w:line="333" w:before="43" w:after="30"/>
              <w:jc w:val="right"/>
              <w:rPr>
                <w:rFonts w:ascii="Times New Roman;serif" w:hAnsi="Times New Roman;serif"/>
                <w:b w:val="false"/>
                <w:color w:val="000000"/>
                <w:sz w:val="20"/>
              </w:rPr>
            </w:pPr>
            <w:r>
              <w:rPr>
                <w:rFonts w:ascii="Times New Roman;serif" w:hAnsi="Times New Roman;serif"/>
                <w:b w:val="false"/>
                <w:color w:val="000000"/>
                <w:sz w:val="20"/>
              </w:rPr>
              <w:t>37,374,261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4" w:space="0" w:color="000000"/>
              <w:bottom w:val="single" w:sz="6" w:space="0" w:color="000000"/>
            </w:tcBorders>
            <w:shd w:fill="FFFFFF" w:val="clear"/>
            <w:tcMar>
              <w:top w:w="30" w:type="dxa"/>
              <w:left w:w="0" w:type="dxa"/>
              <w:bottom w:w="30" w:type="dxa"/>
              <w:right w:w="0" w:type="dxa"/>
            </w:tcMar>
            <w:vAlign w:val="center"/>
          </w:tcPr>
          <w:p>
            <w:pPr>
              <w:pStyle w:val="TableContents"/>
              <w:bidi w:val="0"/>
              <w:spacing w:lineRule="auto" w:line="333" w:before="43" w:after="30"/>
              <w:jc w:val="right"/>
              <w:rPr>
                <w:rFonts w:ascii="Times New Roman;serif" w:hAnsi="Times New Roman;serif"/>
                <w:b w:val="false"/>
                <w:color w:val="000000"/>
                <w:sz w:val="20"/>
              </w:rPr>
            </w:pPr>
            <w:r>
              <w:rPr>
                <w:rFonts w:ascii="Times New Roman;serif" w:hAnsi="Times New Roman;serif"/>
                <w:b w:val="false"/>
                <w:color w:val="000000"/>
                <w:sz w:val="20"/>
              </w:rPr>
              <w:t>37,374,261</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4" w:space="0" w:color="000000"/>
              <w:bottom w:val="single" w:sz="6" w:space="0" w:color="000000"/>
            </w:tcBorders>
            <w:shd w:fill="FFFFFF" w:val="clear"/>
            <w:tcMar>
              <w:top w:w="30" w:type="dxa"/>
              <w:left w:w="0" w:type="dxa"/>
              <w:bottom w:w="30" w:type="dxa"/>
              <w:right w:w="0" w:type="dxa"/>
            </w:tcMar>
            <w:vAlign w:val="center"/>
          </w:tcPr>
          <w:p>
            <w:pPr>
              <w:pStyle w:val="TableContents"/>
              <w:bidi w:val="0"/>
              <w:spacing w:lineRule="auto" w:line="333" w:before="43" w:after="30"/>
              <w:jc w:val="right"/>
              <w:rPr>
                <w:rFonts w:ascii="Times New Roman;serif" w:hAnsi="Times New Roman;serif"/>
                <w:b w:val="false"/>
                <w:color w:val="000000"/>
                <w:sz w:val="20"/>
              </w:rPr>
            </w:pPr>
            <w:r>
              <w:rPr>
                <w:rFonts w:ascii="Times New Roman;serif" w:hAnsi="Times New Roman;serif"/>
                <w:b w:val="false"/>
                <w:color w:val="000000"/>
                <w:sz w:val="20"/>
              </w:rPr>
              <w:t>37,374,261</w:t>
            </w:r>
          </w:p>
        </w:tc>
      </w:tr>
    </w:tbl>
    <w:p>
      <w:pPr>
        <w:pStyle w:val="TextBody"/>
        <w:bidi w:val="0"/>
        <w:spacing w:lineRule="auto" w:line="333"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IONIC DIGITAL INC.</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CHANGES IN MEZZANINE AND STOCKHOLDERS’ EQUITY</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of US $, except share data)</w:t>
      </w:r>
    </w:p>
    <w:p>
      <w:pPr>
        <w:pStyle w:val="TextBody"/>
        <w:bidi w:val="0"/>
        <w:spacing w:before="0" w:after="0"/>
        <w:jc w:val="center"/>
        <w:rPr/>
      </w:pPr>
      <w:r>
        <w:rPr/>
      </w:r>
    </w:p>
    <w:p>
      <w:pPr>
        <w:pStyle w:val="TextBody"/>
        <w:bidi w:val="0"/>
        <w:spacing w:before="0" w:after="120"/>
        <w:jc w:val="center"/>
        <w:rPr/>
      </w:pPr>
      <w:r>
        <w:rPr/>
      </w:r>
    </w:p>
    <w:tbl>
      <w:tblPr>
        <w:tblW w:w="13838" w:type="dxa"/>
        <w:jc w:val="left"/>
        <w:tblInd w:w="0" w:type="dxa"/>
        <w:tblLayout w:type="fixed"/>
        <w:tblCellMar>
          <w:top w:w="28" w:type="dxa"/>
          <w:left w:w="28" w:type="dxa"/>
          <w:bottom w:w="28" w:type="dxa"/>
          <w:right w:w="28" w:type="dxa"/>
        </w:tblCellMar>
      </w:tblPr>
      <w:tblGrid>
        <w:gridCol w:w="638"/>
        <w:gridCol w:w="311"/>
        <w:gridCol w:w="312"/>
        <w:gridCol w:w="368"/>
        <w:gridCol w:w="368"/>
        <w:gridCol w:w="220"/>
        <w:gridCol w:w="109"/>
        <w:gridCol w:w="109"/>
        <w:gridCol w:w="109"/>
        <w:gridCol w:w="274"/>
        <w:gridCol w:w="274"/>
        <w:gridCol w:w="278"/>
        <w:gridCol w:w="109"/>
        <w:gridCol w:w="109"/>
        <w:gridCol w:w="109"/>
        <w:gridCol w:w="344"/>
        <w:gridCol w:w="344"/>
        <w:gridCol w:w="348"/>
        <w:gridCol w:w="109"/>
        <w:gridCol w:w="109"/>
        <w:gridCol w:w="109"/>
        <w:gridCol w:w="274"/>
        <w:gridCol w:w="274"/>
        <w:gridCol w:w="278"/>
        <w:gridCol w:w="109"/>
        <w:gridCol w:w="109"/>
        <w:gridCol w:w="109"/>
        <w:gridCol w:w="464"/>
        <w:gridCol w:w="446"/>
        <w:gridCol w:w="336"/>
        <w:gridCol w:w="109"/>
        <w:gridCol w:w="109"/>
        <w:gridCol w:w="109"/>
        <w:gridCol w:w="405"/>
        <w:gridCol w:w="405"/>
        <w:gridCol w:w="406"/>
        <w:gridCol w:w="109"/>
        <w:gridCol w:w="109"/>
        <w:gridCol w:w="109"/>
        <w:gridCol w:w="445"/>
        <w:gridCol w:w="400"/>
        <w:gridCol w:w="401"/>
        <w:gridCol w:w="109"/>
        <w:gridCol w:w="109"/>
        <w:gridCol w:w="109"/>
        <w:gridCol w:w="577"/>
        <w:gridCol w:w="577"/>
        <w:gridCol w:w="197"/>
        <w:gridCol w:w="113"/>
        <w:gridCol w:w="113"/>
        <w:gridCol w:w="113"/>
        <w:gridCol w:w="504"/>
        <w:gridCol w:w="504"/>
        <w:gridCol w:w="238"/>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Mezzanine 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Series Z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33" w:after="283"/>
              <w:jc w:val="center"/>
              <w:rPr>
                <w:rFonts w:ascii="Times New Roman;serif" w:hAnsi="Times New Roman;serif"/>
                <w:b/>
                <w:color w:val="000000"/>
                <w:sz w:val="20"/>
              </w:rPr>
            </w:pPr>
            <w:r>
              <w:rPr>
                <w:rFonts w:ascii="Times New Roman;serif" w:hAnsi="Times New Roman;serif"/>
                <w:b/>
                <w:color w:val="000000"/>
                <w:sz w:val="20"/>
              </w:rPr>
              <w:t>Additional</w:t>
            </w:r>
          </w:p>
          <w:p>
            <w:pPr>
              <w:pStyle w:val="TableContents"/>
              <w:bidi w:val="0"/>
              <w:spacing w:lineRule="auto" w:line="240" w:before="0" w:after="30"/>
              <w:jc w:val="center"/>
              <w:rPr>
                <w:rFonts w:ascii="Times New Roman;serif" w:hAnsi="Times New Roman;serif"/>
                <w:b/>
                <w:color w:val="000000"/>
                <w:sz w:val="20"/>
              </w:rPr>
            </w:pPr>
            <w:r>
              <w:rPr>
                <w:rFonts w:ascii="Times New Roman;serif" w:hAnsi="Times New Roman;serif"/>
                <w:b/>
                <w:color w:val="000000"/>
                <w:sz w:val="20"/>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33" w:after="283"/>
              <w:jc w:val="center"/>
              <w:rPr>
                <w:rFonts w:ascii="Times New Roman;serif" w:hAnsi="Times New Roman;serif"/>
                <w:b/>
                <w:color w:val="000000"/>
                <w:sz w:val="20"/>
              </w:rPr>
            </w:pPr>
            <w:r>
              <w:rPr>
                <w:rFonts w:ascii="Times New Roman;serif" w:hAnsi="Times New Roman;serif"/>
                <w:b/>
                <w:color w:val="000000"/>
                <w:sz w:val="20"/>
              </w:rPr>
              <w:t>Total Stockholders'</w:t>
            </w:r>
          </w:p>
          <w:p>
            <w:pPr>
              <w:pStyle w:val="TableContents"/>
              <w:bidi w:val="0"/>
              <w:spacing w:lineRule="auto" w:line="240" w:before="0" w:after="30"/>
              <w:jc w:val="center"/>
              <w:rPr>
                <w:rFonts w:ascii="Times New Roman;serif" w:hAnsi="Times New Roman;serif"/>
                <w:b/>
                <w:color w:val="000000"/>
                <w:sz w:val="20"/>
              </w:rPr>
            </w:pPr>
            <w:r>
              <w:rPr>
                <w:rFonts w:ascii="Times New Roman;serif" w:hAnsi="Times New Roman;serif"/>
                <w:b/>
                <w:color w:val="000000"/>
                <w:sz w:val="20"/>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Series A Convertible Preferred Stock</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33" w:after="30"/>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33" w:after="30"/>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Balance as of December 31, 2025 </w:t>
            </w:r>
          </w:p>
        </w:tc>
        <w:tc>
          <w:tcPr>
            <w:tcW w:w="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37,374,261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750,985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(207,578)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543,407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    </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6,448    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color w:val="000000"/>
                <w:sz w:val="20"/>
              </w:rPr>
              <w:t>6,448    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(12,984)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color w:val="000000"/>
                <w:sz w:val="20"/>
              </w:rPr>
              <w:t>(12,984)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9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33" w:after="3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33" w:after="30"/>
              <w:jc w:val="right"/>
              <w:rPr/>
            </w:pPr>
            <w:r>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color w:val="000000"/>
                <w:sz w:val="20"/>
              </w:rPr>
            </w:pPr>
            <w:r>
              <w:rPr>
                <w:rFonts w:ascii="Times New Roman;serif" w:hAnsi="Times New Roman;serif"/>
                <w:b/>
                <w:color w:val="000000"/>
                <w:sz w:val="20"/>
              </w:rPr>
              <w:t>37,374,261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757,433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(220,562)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536,871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33" w:before="33" w:after="30"/>
              <w:jc w:val="right"/>
              <w:rPr>
                <w:color w:val="000000"/>
              </w:rPr>
            </w:pPr>
            <w:r>
              <w:rPr>
                <w:color w:val="000000"/>
              </w:rPr>
              <w:t>    —    </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Issuance of Series Z Preferred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40,000</w:t>
            </w: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Issuance of Series A Preferred Stock, net of issuance costs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7,547,166    </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350,547    </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8,990    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color w:val="000000"/>
                <w:sz w:val="20"/>
              </w:rPr>
              <w:t>8,990    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(35,305)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color w:val="000000"/>
                <w:sz w:val="20"/>
              </w:rPr>
              <w:t>(35,305)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95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33" w:before="33" w:after="30"/>
              <w:jc w:val="right"/>
              <w:rPr>
                <w:rFonts w:ascii="Times New Roman;serif" w:hAnsi="Times New Roman;serif"/>
                <w:b/>
                <w:color w:val="000000"/>
                <w:sz w:val="20"/>
              </w:rPr>
            </w:pPr>
            <w:r>
              <w:rPr>
                <w:rFonts w:ascii="Times New Roman;serif" w:hAnsi="Times New Roman;serif"/>
                <w:b/>
                <w:color w:val="000000"/>
                <w:sz w:val="20"/>
              </w:rPr>
              <w:t>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30"/>
              <w:jc w:val="right"/>
              <w:rPr/>
            </w:pPr>
            <w:r>
              <w:rPr/>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33" w:before="33" w:after="30"/>
              <w:jc w:val="right"/>
              <w:rPr>
                <w:rFonts w:ascii="Times New Roman;serif" w:hAnsi="Times New Roman;serif"/>
                <w:b/>
                <w:color w:val="000000"/>
                <w:sz w:val="20"/>
              </w:rPr>
            </w:pPr>
            <w:r>
              <w:rPr>
                <w:rFonts w:ascii="Times New Roman;serif" w:hAnsi="Times New Roman;serif"/>
                <w:b/>
                <w:color w:val="000000"/>
                <w:sz w:val="20"/>
              </w:rPr>
              <w:t>37,374,261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766,423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(255,867)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510,556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left w:val="single" w:sz="8" w:space="0" w:color="000000"/>
              <w:bottom w:val="double" w:sz="8" w:space="0" w:color="000000"/>
            </w:tcBorders>
            <w:shd w:fill="CCEEFF" w:val="clear"/>
            <w:tcMar>
              <w:top w:w="30" w:type="dxa"/>
              <w:bottom w:w="30" w:type="dxa"/>
              <w:right w:w="0" w:type="dxa"/>
            </w:tcMar>
            <w:vAlign w:val="center"/>
          </w:tcPr>
          <w:p>
            <w:pPr>
              <w:pStyle w:val="TableContents"/>
              <w:bidi w:val="0"/>
              <w:spacing w:lineRule="auto" w:line="333" w:before="33" w:after="30"/>
              <w:jc w:val="right"/>
              <w:rPr>
                <w:color w:val="000000"/>
              </w:rPr>
            </w:pPr>
            <w:r>
              <w:rPr>
                <w:color w:val="000000"/>
              </w:rPr>
              <w:t>    </w:t>
            </w:r>
            <w:r>
              <w:rPr>
                <w:rFonts w:ascii="Times New Roman;serif" w:hAnsi="Times New Roman;serif"/>
                <w:b/>
                <w:color w:val="000000"/>
                <w:sz w:val="20"/>
              </w:rPr>
              <w:t>7,547,166    </w:t>
            </w:r>
          </w:p>
        </w:tc>
        <w:tc>
          <w:tcPr>
            <w:tcW w:w="339"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33" w:after="30"/>
              <w:jc w:val="right"/>
              <w:rPr/>
            </w:pPr>
            <w:r>
              <w:rPr/>
            </w:r>
          </w:p>
        </w:tc>
        <w:tc>
          <w:tcPr>
            <w:tcW w:w="12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33" w:before="33" w:after="30"/>
              <w:jc w:val="right"/>
              <w:rPr>
                <w:color w:val="000000"/>
              </w:rPr>
            </w:pPr>
            <w:r>
              <w:rPr>
                <w:color w:val="000000"/>
              </w:rPr>
              <w:t>    </w:t>
            </w:r>
            <w:r>
              <w:rPr>
                <w:rFonts w:ascii="Times New Roman;serif" w:hAnsi="Times New Roman;serif"/>
                <w:b/>
                <w:color w:val="000000"/>
                <w:sz w:val="20"/>
              </w:rPr>
              <w:t>350,547    </w:t>
            </w:r>
          </w:p>
        </w:tc>
      </w:tr>
    </w:tbl>
    <w:p>
      <w:pPr>
        <w:pStyle w:val="TextBody"/>
        <w:bidi w:val="0"/>
        <w:spacing w:before="120" w:after="283"/>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35"/>
        <w:gridCol w:w="736"/>
        <w:gridCol w:w="738"/>
        <w:gridCol w:w="344"/>
        <w:gridCol w:w="344"/>
        <w:gridCol w:w="348"/>
        <w:gridCol w:w="140"/>
        <w:gridCol w:w="140"/>
        <w:gridCol w:w="140"/>
        <w:gridCol w:w="274"/>
        <w:gridCol w:w="274"/>
        <w:gridCol w:w="278"/>
        <w:gridCol w:w="109"/>
        <w:gridCol w:w="109"/>
        <w:gridCol w:w="109"/>
        <w:gridCol w:w="464"/>
        <w:gridCol w:w="458"/>
        <w:gridCol w:w="425"/>
        <w:gridCol w:w="109"/>
        <w:gridCol w:w="109"/>
        <w:gridCol w:w="109"/>
        <w:gridCol w:w="542"/>
        <w:gridCol w:w="542"/>
        <w:gridCol w:w="544"/>
        <w:gridCol w:w="109"/>
        <w:gridCol w:w="109"/>
        <w:gridCol w:w="109"/>
        <w:gridCol w:w="493"/>
        <w:gridCol w:w="479"/>
        <w:gridCol w:w="686"/>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33" w:after="283"/>
              <w:jc w:val="center"/>
              <w:rPr>
                <w:rFonts w:ascii="Times New Roman;serif" w:hAnsi="Times New Roman;serif"/>
                <w:b/>
                <w:color w:val="000000"/>
                <w:sz w:val="20"/>
              </w:rPr>
            </w:pPr>
            <w:r>
              <w:rPr>
                <w:rFonts w:ascii="Times New Roman;serif" w:hAnsi="Times New Roman;serif"/>
                <w:b/>
                <w:color w:val="000000"/>
                <w:sz w:val="20"/>
              </w:rPr>
              <w:t>Additional</w:t>
            </w:r>
          </w:p>
          <w:p>
            <w:pPr>
              <w:pStyle w:val="TableContents"/>
              <w:bidi w:val="0"/>
              <w:spacing w:lineRule="auto" w:line="240" w:before="0" w:after="30"/>
              <w:jc w:val="center"/>
              <w:rPr>
                <w:rFonts w:ascii="Times New Roman;serif" w:hAnsi="Times New Roman;serif"/>
                <w:b/>
                <w:color w:val="000000"/>
                <w:sz w:val="20"/>
              </w:rPr>
            </w:pPr>
            <w:r>
              <w:rPr>
                <w:rFonts w:ascii="Times New Roman;serif" w:hAnsi="Times New Roman;serif"/>
                <w:b/>
                <w:color w:val="000000"/>
                <w:sz w:val="20"/>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33" w:after="283"/>
              <w:jc w:val="center"/>
              <w:rPr>
                <w:rFonts w:ascii="Times New Roman;serif" w:hAnsi="Times New Roman;serif"/>
                <w:b/>
                <w:color w:val="000000"/>
                <w:sz w:val="20"/>
              </w:rPr>
            </w:pPr>
            <w:r>
              <w:rPr>
                <w:rFonts w:ascii="Times New Roman;serif" w:hAnsi="Times New Roman;serif"/>
                <w:b/>
                <w:color w:val="000000"/>
                <w:sz w:val="20"/>
              </w:rPr>
              <w:t>Total Stockholders'</w:t>
            </w:r>
          </w:p>
          <w:p>
            <w:pPr>
              <w:pStyle w:val="TableContents"/>
              <w:bidi w:val="0"/>
              <w:spacing w:lineRule="auto" w:line="240" w:before="0" w:after="30"/>
              <w:jc w:val="center"/>
              <w:rPr>
                <w:rFonts w:ascii="Times New Roman;serif" w:hAnsi="Times New Roman;serif"/>
                <w:b/>
                <w:color w:val="000000"/>
                <w:sz w:val="20"/>
              </w:rPr>
            </w:pPr>
            <w:r>
              <w:rPr>
                <w:rFonts w:ascii="Times New Roman;serif" w:hAnsi="Times New Roman;serif"/>
                <w:b/>
                <w:color w:val="000000"/>
                <w:sz w:val="20"/>
              </w:rPr>
              <w:t>Equity</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33" w:after="30"/>
              <w:jc w:val="center"/>
              <w:rPr>
                <w:rFonts w:ascii="Times New Roman;serif" w:hAnsi="Times New Roman;serif"/>
                <w:b/>
                <w:color w:val="000000"/>
                <w:sz w:val="20"/>
              </w:rPr>
            </w:pPr>
            <w:r>
              <w:rPr>
                <w:rFonts w:ascii="Times New Roman;serif" w:hAnsi="Times New Roman;serif"/>
                <w:b/>
                <w:color w:val="000000"/>
                <w:sz w:val="20"/>
              </w:rPr>
              <w:t>Shares</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33" w:after="30"/>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37,374,261</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747,485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40,145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787,630    </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4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(28,031)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color w:val="000000"/>
                <w:sz w:val="20"/>
              </w:rPr>
              <w:t>(28,031)</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37,374,261</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747,485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12,114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759,599    </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31,914    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color w:val="000000"/>
                <w:sz w:val="20"/>
              </w:rPr>
              <w:t>31,914    </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37,374,261</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747,485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44,028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791,513    </w:t>
            </w:r>
          </w:p>
        </w:tc>
      </w:tr>
    </w:tbl>
    <w:p>
      <w:pPr>
        <w:pStyle w:val="TextBody"/>
        <w:bidi w:val="0"/>
        <w:spacing w:lineRule="auto" w:line="333"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 for further detail.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IONIC DIGITAL INC.</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of US $)</w:t>
      </w:r>
    </w:p>
    <w:tbl>
      <w:tblPr>
        <w:tblW w:w="9235" w:type="dxa"/>
        <w:jc w:val="left"/>
        <w:tblInd w:w="0" w:type="dxa"/>
        <w:tblLayout w:type="fixed"/>
        <w:tblCellMar>
          <w:top w:w="28" w:type="dxa"/>
          <w:left w:w="28" w:type="dxa"/>
          <w:bottom w:w="28" w:type="dxa"/>
          <w:right w:w="28" w:type="dxa"/>
        </w:tblCellMar>
      </w:tblPr>
      <w:tblGrid>
        <w:gridCol w:w="2180"/>
        <w:gridCol w:w="1918"/>
        <w:gridCol w:w="1931"/>
        <w:gridCol w:w="608"/>
        <w:gridCol w:w="374"/>
        <w:gridCol w:w="264"/>
        <w:gridCol w:w="258"/>
        <w:gridCol w:w="258"/>
        <w:gridCol w:w="258"/>
        <w:gridCol w:w="507"/>
        <w:gridCol w:w="312"/>
        <w:gridCol w:w="367"/>
      </w:tblGrid>
      <w:tr>
        <w:trPr/>
        <w:tc>
          <w:tcPr>
            <w:tcW w:w="2180"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(48,289)</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3,883    </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246"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Mining revenue received in bitcoin</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(12,199)</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(78,273)</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Hosting costs paid in bitcoin</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592    </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10,489    </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33,384    </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Loss (gain) on the fair value of cryptocurrency assets</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81,527    </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(1,332)</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Realized gain on sale of cryptocurrency assets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(32,410)</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Loss (gain) on sale of property and equipment</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544    </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(21)</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Deferred initial direct leasing costs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337    </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31    </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38    </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15,438    </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10,813    </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1,120    </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246"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(38,593)</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(797)</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4,461</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(7,501)</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Deferred digital infrastructure leasing revenue</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(39,793)</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Accounts payable and other accrued liabilities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(10,785)</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9,827    </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84</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235</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cash used in operating activities </w:t>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color w:val="000000"/>
                <w:sz w:val="20"/>
              </w:rPr>
              <w:t>(25,935)</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color w:val="000000"/>
                <w:sz w:val="20"/>
              </w:rPr>
              <w:t>(71,255)</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(5,827)</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(4,152)</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Proceeds from the sale of mining equipment</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659    </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21    </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Proceeds from assets held for sale</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3,331    </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Proceeds from sale of cryptocurrency assets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64,238    </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cash provided by (used in) investing activities </w:t>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color w:val="000000"/>
                <w:sz w:val="20"/>
              </w:rPr>
              <w:t>(1,837)</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color w:val="000000"/>
                <w:sz w:val="20"/>
              </w:rPr>
              <w:t>60,107    </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warrants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34,061    </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Proceeds from issuance of Series A preferred stock </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365,939    </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cash provided by financing activities </w:t>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color w:val="000000"/>
                <w:sz w:val="20"/>
              </w:rPr>
              <w:t>400,000    </w:t>
            </w:r>
          </w:p>
        </w:tc>
        <w:tc>
          <w:tcPr>
            <w:tcW w:w="7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33" w:after="30"/>
              <w:jc w:val="left"/>
              <w:rPr/>
            </w:pPr>
            <w:r>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372,228    </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(11,148)</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333" w:before="0" w:after="0"/>
              <w:ind w:left="0" w:right="0" w:hanging="288"/>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beginning of the period</w:t>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43,510    </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48,393    </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88"/>
              <w:jc w:val="left"/>
              <w:rPr>
                <w:rFonts w:ascii="Times New Roman;serif" w:hAnsi="Times New Roman;serif"/>
                <w:b/>
                <w:color w:val="000000"/>
                <w:sz w:val="20"/>
              </w:rPr>
            </w:pPr>
            <w:r>
              <w:rPr>
                <w:rFonts w:ascii="Times New Roman;serif" w:hAnsi="Times New Roman;serif"/>
                <w:b/>
                <w:color w:val="000000"/>
                <w:sz w:val="20"/>
              </w:rPr>
              <w:t>Cash and cash equivalents at the end of the period</w:t>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415,738    </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37,245    </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schedule of non-cash financing and investing activities:</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333"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Assumption of liability for the acquisition of PPE</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876    </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2,347    </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333"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Private Placement Issuance Costs in accounts payable and accruals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16,800    </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r>
    </w:tbl>
    <w:p>
      <w:pPr>
        <w:pStyle w:val="TextBody"/>
        <w:bidi w:val="0"/>
        <w:spacing w:lineRule="auto" w:line="333" w:before="36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IONIC DIGITAL INC.</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333" w:before="120" w:after="120"/>
        <w:ind w:left="0" w:right="0" w:hanging="1080"/>
        <w:jc w:val="left"/>
        <w:rPr>
          <w:rFonts w:ascii="Times New Roman;serif" w:hAnsi="Times New Roman;serif"/>
          <w:b/>
          <w:color w:val="000000"/>
          <w:sz w:val="20"/>
        </w:rPr>
      </w:pPr>
      <w:r>
        <w:rPr>
          <w:rFonts w:ascii="Times New Roman;serif" w:hAnsi="Times New Roman;serif"/>
          <w:b/>
          <w:color w:val="000000"/>
          <w:sz w:val="20"/>
        </w:rPr>
        <w:t>NOTE 1. ORGANIZATION</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Nature of operations and corporate information</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Ionic Digital Inc. (together with its consolidated subsidiaries, “Ionic Digital,” or the “Company”) was formed on January 5, 2024 to acquire substantially all of the assets and assume certain liabilities of Celsius Mining, LLC (“Celsius Mining”) pursuant to the Chapter 11 bankruptcy plan of reorganization (the “Plan”), which was confirmed by the United States Bankruptcy Court for the Southern District of New York (the “Bankruptcy Court”) on November 9, 2023. Pursuant to the Plan, at the close of business on January 31, 2024 (the “Plan Effective Date”), the Company, through its wholly owned subsidiary Ionic Digital Treasury Inc., entered into a Master Conveyance Agreement with Celsius Mining and acquired substantially all the assets and assumed certain liabilities from Celsius Mining (the “Business Combination”). As a result of the Business Combination, the Company initiated its cryptocurrency mining operations, generating revenue through the mining of bitcoin, a digital asset operating on a decentralized, open-source blockchain network.</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Subsequent to the Business Combination, the Company solely operated a fleet of application-specific integrated circuit (“ASIC”) mining machines (“miners”) at both hosted and owned or leased facilities. However, on October 14, 2025 the Company entered into a lease arrangement for its Ward County facility (previously referred to as “Cedarvale” in Company communications), resulting in a new operating segment which provides digital infrastructure solutions (refer to Note 8 – Leases for additional information). The Company’s cryptocurrency mining segment continues to operate four facilities located in Midland, Texas.</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On July 28, 2026, the Company completed its direct listing of the Company’s Class A Common Stock. See further information in Note 13.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ind w:left="0" w:right="0" w:hanging="1080"/>
        <w:jc w:val="both"/>
        <w:rPr>
          <w:rFonts w:ascii="Times New Roman;serif" w:hAnsi="Times New Roman;serif"/>
          <w:b/>
          <w:color w:val="000000"/>
          <w:sz w:val="20"/>
        </w:rPr>
      </w:pPr>
      <w:r>
        <w:rPr>
          <w:rFonts w:ascii="Times New Roman;serif" w:hAnsi="Times New Roman;serif"/>
          <w:b/>
          <w:color w:val="000000"/>
          <w:sz w:val="20"/>
        </w:rPr>
        <w:t>NOTE 2. BASIS OF PRESENTATION AND SIGNIFICANT ACCOUNTING POLICIES</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in accordance with accounting principles generally accepted in the United States of America (“US GAAP”) and the rules and regulations of the SEC. Certain information and footnote disclosures normally included in financial statements prepared in accordance with U.S. GAAP have been condensed or omitted pursuant to such rules and regulations. In the opinion of management, these unaudited condensed consolidated financial statements reflect all adjustments, including those of a normal and recurring nature, which are necessary for a fair presentation of the results for the interim period presented. The Company’s interim financial statements are condensed and should be read in conjunction with the Company’s latest audited annual consolidated financial statements included in our Registration Statement on Form S-1 (No. 333-297125). The results of operations for the three and six months ended June 30, 2026, are not necessarily indicative of the results to be expected for the full-year ending December 31, 2026.</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include the accounts of the Company and its wholly owned and controlled subsidiaries. Intercompany balances and transactions have been eliminated in consolidation. </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preparation of the Company’s condensed consolidated financial statements in conformity with US GAAP requires management to make estimates, judgments, and assumptions that affect the reported amounts of assets and liabilities, the disclosure of contingent assets and liabilities at the date of the financial statements, and the reported amounts of revenues and expenses during the reporting period. Significant estimates include estimates used to review the Company’s goodwill allocation and impairment, impairment of long-lived assets, allowance for credit losses, income taxes, and stock-based compensation.</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Management bases its estimates of the carrying value of certain assets and liabilities on historical experience and on various other assumptions that it believes to be reasonable under the circumstances when these carrying values are not readily available from other sources. Making estimates requires management to exercise significant judgment and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actual results may differ materially from those estimates.</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include all cash balances and highly liquid investments with original maturities of three months or less. These investments may include money market funds, certificates of deposit, and other short-term instruments.</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significant concentrations of credit risk consist primarily of cash and cash equivalents. At times throughout the year, the Company has maintained cash balances in certain bank accounts in excess of FDIC limits. The cash balance in excess of the FDIC limits was immaterial as of June 30, 2026 and December 31, 2025. The Company's cash equivalents include investments in money market funds, primarily the Fidelity Investments Money Market Government Portfolio - Institutional Class (FRGXX), which invests at least 99.5% of its assets in cash, U.S. government securities, and repurchase agreements collateralized by such securities. At June 30, 2026 and December 31, 2025, the fair value of these investments was $12.8 million and $42.1 million, respectively. These funds are not insured by the FDIC, but maintain a stable net asset value of $1.00 per share and are subject to Securities and Exchange Commission (“SEC”) diversification and liquidity requirements under Rule 2a-7. The Company has no significant concentrations of credit risk from these holdings beyond U.S. sovereign credit exposure. The accounts offered by the custodians of the Company’s bitcoin are not insured by the FDIC. The uninsured fair value of the Company’s bitcoin holdings totaled $168.7 million and $237.9 million as of June 30, 2026 and December 31, 2025, respectively. The Company has not experienced any losses in such accounts.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certain customers and vendors who individually represent 10% or more of the Company’s revenue or capital expenditures. </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Prepaid Expenses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records a prepaid expense for costs paid, but not yet incurred. Those expected to be incurred within one year are recognized and shown within Current assets on the Company’s Condensed Consolidated Balance Sheet. Any costs expected to be incurred outside of one year would be included within Deposits and other non-current assets on the Company’s Condensed Consolidated Balance Sheet.</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Management estimates an allowance for credit losses using relevant available information from both internal and external sources relating to past events, current conditions, and reasonable and supportable forecasts. Changes in the allowance for credit losses are recorded within General and administrative expenses, in the Condensed Consolidated Statements of Operations.</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Fair value measurements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accounts for financial assets and liabilities in accordance with ASC 820, Fair Value Measurement (“ASC 820”), which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when measuring fair value and classifies those inputs into three levels:</w:t>
      </w:r>
    </w:p>
    <w:p>
      <w:pPr>
        <w:pStyle w:val="TextBody"/>
        <w:bidi w:val="0"/>
        <w:spacing w:lineRule="auto" w:line="333" w:before="120" w:after="120"/>
        <w:ind w:left="0" w:right="0" w:hanging="360"/>
        <w:jc w:val="both"/>
        <w:rPr/>
      </w:pPr>
      <w:r>
        <w:rPr>
          <w:color w:val="000000"/>
        </w:rPr>
        <w:t>•</w:t>
      </w:r>
      <w:r>
        <w:rPr>
          <w:rFonts w:ascii="Times New Roman;serif" w:hAnsi="Times New Roman;serif"/>
          <w:b w:val="false"/>
          <w:color w:val="000000"/>
          <w:sz w:val="20"/>
        </w:rPr>
        <w:t xml:space="preserve">Level 1 - Quoted prices in active markets for identical assets or liabilities. These are typically obtained from real-time quotes for transactions in active exchange markets involving identical assets. </w:t>
      </w:r>
    </w:p>
    <w:p>
      <w:pPr>
        <w:pStyle w:val="TextBody"/>
        <w:bidi w:val="0"/>
        <w:spacing w:lineRule="auto" w:line="333" w:before="120" w:after="120"/>
        <w:ind w:left="0" w:right="0" w:hanging="360"/>
        <w:jc w:val="both"/>
        <w:rPr/>
      </w:pPr>
      <w:r>
        <w:rPr>
          <w:color w:val="000000"/>
        </w:rPr>
        <w:t>•</w:t>
      </w:r>
      <w:r>
        <w:rPr>
          <w:rFonts w:ascii="Times New Roman;serif" w:hAnsi="Times New Roman;serif"/>
          <w:b w:val="false"/>
          <w:color w:val="000000"/>
          <w:sz w:val="20"/>
        </w:rPr>
        <w:t xml:space="preserve">Level 2 - Quoted prices for similar assets and liabilities in active markets; quoted prices included for identical or similar assets and liabilities that are not active; and model-derived valuations in which all significant inputs and significant value drivers are observable in active markets. These are typically obtained from readily available pricing sources for comparable instruments. </w:t>
      </w:r>
    </w:p>
    <w:p>
      <w:pPr>
        <w:pStyle w:val="TextBody"/>
        <w:bidi w:val="0"/>
        <w:spacing w:lineRule="auto" w:line="333" w:before="120" w:after="120"/>
        <w:ind w:left="0" w:right="0" w:hanging="360"/>
        <w:jc w:val="both"/>
        <w:rPr/>
      </w:pPr>
      <w:r>
        <w:rPr>
          <w:color w:val="000000"/>
        </w:rPr>
        <w:t>•</w:t>
      </w:r>
      <w:r>
        <w:rPr>
          <w:rFonts w:ascii="Times New Roman;serif" w:hAnsi="Times New Roman;serif"/>
          <w:b w:val="false"/>
          <w:color w:val="000000"/>
          <w:sz w:val="20"/>
        </w:rPr>
        <w:t xml:space="preserve">Level 3 - Unobservable inputs in which there is little or no market data, which require the reporting entity to develop its own assumptions.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Observable inputs are based on market data obtained from independent sources, while unobservable inputs are based on market assumptions. Unobservable inputs require significant management judgment or estimation. In some cases, the inputs used to measure an asset or liability may fall into different levels of the fair value hierarchy. In those instances, the fair value measurement is required to be classified using the lowest level of input that is significant to the fair value measurement. Such determination requires significant management judgment.</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Cryptocurrency assets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Cryptocurrency assets held by the Company as of June 30, 2026 and December 31, 2025, consisted entirely of bitcoin. All cryptocurrency asset holdings are classified as current assets in the accompanying balance sheets due to the Company’s ability to sell the cryptocurrency assets in a highly liquid marketplace and its intent to liquidate its cryptocurrency assets to support operations, capital expenditures, or for treasury management as needed.</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Bitcoin received by the Company through its mining activities is accounted for in connection with the Company’s revenue recognition policy disclosed below.</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Cryptocurrency assets are recorded at fair value. The Company determines the fair value of cryptocurrency assets in accordance with ASC 820. The fair value of bitcoin is measured using the period-end closing bitcoin price from its principal market, Coinbase Global, Inc. (“Coinbase”). The Company utilizes the bitcoin spot price as of 23:59:59 UTC. For the three and six months ended June 30, 2026 and 2025, the changes in fair value are recognized as Gain (loss) on fair value of cryptocurrency within Operating expenses on the Condensed Consolidated Statements of Operations.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proceeds from sales of cryptocurrency assets are included within investing activities in the accompanying Condensed Consolidated Statements of Cash Flows, as the Company intends to liquidate its cryptocurrency assets only as needed to cover operating costs and expenses within its operating cycle. In accordance with ASC 350-60, the Company discloses realized gains and losses from the sale of cryptocurrency assets and such gains and losses are measured as the difference between the cash proceeds and the cost basis of the asset as determined on a First In-First Out basis.</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Property and equipment is stated at cost less depreciation accumulated using the straight-line method over the estimated useful lives of the assets. Construction-in-progress is the construction or development of assets that have not yet been placed in service for their intended use, and therefore, are not depreciated until the work is completed and the assets are placed in service. Depreciation of mining equipment, machinery and facilities equipment, buildings, and leasehold improvements also commences once assets are placed in service. Land is not depreciated.</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Costs of maintenance, repairs, and minor parts replacements are expensed when incurred. Upon the sale or retirement of property and equipment, the cost and accumulated depreciation and amortization are removed from the Company’s balance sheets with the resulting gain or loss, if any, reflected in the Company’s Condensed Consolidated Statements of Operations.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estimated useful lives of the assets are as follows:</w:t>
      </w:r>
    </w:p>
    <w:tbl>
      <w:tblPr>
        <w:tblW w:w="7784" w:type="dxa"/>
        <w:jc w:val="left"/>
        <w:tblInd w:w="0" w:type="dxa"/>
        <w:tblLayout w:type="fixed"/>
        <w:tblCellMar>
          <w:top w:w="28" w:type="dxa"/>
          <w:left w:w="28" w:type="dxa"/>
          <w:bottom w:w="28" w:type="dxa"/>
          <w:right w:w="28" w:type="dxa"/>
        </w:tblCellMar>
      </w:tblPr>
      <w:tblGrid>
        <w:gridCol w:w="2328"/>
        <w:gridCol w:w="2042"/>
        <w:gridCol w:w="2057"/>
        <w:gridCol w:w="397"/>
        <w:gridCol w:w="397"/>
        <w:gridCol w:w="563"/>
      </w:tblGrid>
      <w:tr>
        <w:trPr/>
        <w:tc>
          <w:tcPr>
            <w:tcW w:w="2328"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6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color w:val="000000"/>
                <w:sz w:val="20"/>
              </w:rPr>
            </w:pPr>
            <w:r>
              <w:rPr>
                <w:rFonts w:ascii="Times New Roman;serif" w:hAnsi="Times New Roman;serif"/>
                <w:b/>
                <w:color w:val="000000"/>
                <w:sz w:val="20"/>
              </w:rPr>
              <w:t>Years</w:t>
            </w:r>
          </w:p>
        </w:tc>
      </w:tr>
      <w:tr>
        <w:trPr/>
        <w:tc>
          <w:tcPr>
            <w:tcW w:w="6427"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35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33" w:before="43" w:after="30"/>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6427"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Mining equipment</w:t>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6427"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pPr>
            <w:r>
              <w:rPr>
                <w:rFonts w:ascii="Times New Roman;serif" w:hAnsi="Times New Roman;serif"/>
                <w:b w:val="false"/>
                <w:color w:val="000000"/>
                <w:sz w:val="20"/>
              </w:rPr>
              <w:t>Machinery and facility equipment</w:t>
            </w:r>
            <w:r>
              <w:rPr>
                <w:rFonts w:ascii="Times New Roman;serif" w:hAnsi="Times New Roman;serif"/>
                <w:b w:val="false"/>
                <w:color w:val="000000"/>
                <w:sz w:val="13"/>
              </w:rPr>
              <w:t>(1)</w:t>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20"/>
              </w:rPr>
            </w:pPr>
            <w:r>
              <w:rPr>
                <w:rFonts w:ascii="Times New Roman;serif" w:hAnsi="Times New Roman;serif"/>
                <w:b w:val="false"/>
                <w:color w:val="000000"/>
                <w:sz w:val="20"/>
              </w:rPr>
              <w:t>7-20</w:t>
            </w:r>
          </w:p>
        </w:tc>
      </w:tr>
      <w:tr>
        <w:trPr/>
        <w:tc>
          <w:tcPr>
            <w:tcW w:w="6427"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20"/>
              </w:rPr>
            </w:pPr>
            <w:r>
              <w:rPr>
                <w:rFonts w:ascii="Times New Roman;serif" w:hAnsi="Times New Roman;serif"/>
                <w:b w:val="false"/>
                <w:color w:val="000000"/>
                <w:sz w:val="20"/>
              </w:rPr>
              <w:t>10-20</w:t>
            </w:r>
          </w:p>
        </w:tc>
      </w:tr>
      <w:tr>
        <w:trPr/>
        <w:tc>
          <w:tcPr>
            <w:tcW w:w="6427"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Land Improvement</w:t>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7784" w:type="dxa"/>
            <w:gridSpan w:val="6"/>
            <w:tcBorders/>
            <w:shd w:fill="FFFFFF" w:val="clear"/>
            <w:tcMar>
              <w:top w:w="0" w:type="dxa"/>
              <w:left w:w="0" w:type="dxa"/>
              <w:bottom w:w="0" w:type="dxa"/>
              <w:right w:w="0" w:type="dxa"/>
            </w:tcMar>
            <w:vAlign w:val="center"/>
          </w:tcPr>
          <w:p>
            <w:pPr>
              <w:pStyle w:val="TableContents"/>
              <w:bidi w:val="0"/>
              <w:spacing w:lineRule="auto" w:line="333"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Machinery and facility equipment primarily includes containers, electrical parts, cables, and transformers.</w:t>
            </w:r>
          </w:p>
        </w:tc>
      </w:tr>
    </w:tbl>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reviews long-lived assets for impairment whenever events or changes in circumstances indicate that the carrying value of such asset groups may not be fully recoverable. The asset groups to be held and used that are subject to impairment review represent the lowest level of identifiable cash flows that are largely independent of other groups of assets and liabilities.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Recoverability of assets to be held and used is measured by a comparison of the carrying amount of an asset to undiscounted future cash flows expected to be generated by the asset. If such assets are considered unrecoverable, the impairment loss to be recognized is measured by the amount by which the carrying amount of the assets exceeds the fair value of the assets.</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Assets Held for Sale</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classifies long-lived assets to be sold as held for sale in the period in which all of the following criteria are met: </w:t>
      </w:r>
    </w:p>
    <w:p>
      <w:pPr>
        <w:pStyle w:val="TextBody"/>
        <w:bidi w:val="0"/>
        <w:spacing w:lineRule="auto" w:line="333"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1.Management, having the authority to approve the action, commits to a plan to sell the asset;</w:t>
      </w:r>
    </w:p>
    <w:p>
      <w:pPr>
        <w:pStyle w:val="TextBody"/>
        <w:bidi w:val="0"/>
        <w:spacing w:lineRule="auto" w:line="333"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2.The asset is available for immediate sale in its present condition subject only to terms that are usual and customary for sales of such assets; </w:t>
      </w:r>
    </w:p>
    <w:p>
      <w:pPr>
        <w:pStyle w:val="TextBody"/>
        <w:bidi w:val="0"/>
        <w:spacing w:lineRule="auto" w:line="333"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3.An active program to locate a buyer and other actions required to complete the plan to sell the asset have been initiated; </w:t>
      </w:r>
    </w:p>
    <w:p>
      <w:pPr>
        <w:pStyle w:val="TextBody"/>
        <w:bidi w:val="0"/>
        <w:spacing w:lineRule="auto" w:line="333"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4.The sale of the asset is probable, and transfer of the asset is expected to qualify for recognition as a completed sale within one year, except if events or circumstances beyond the Company’s control extend the period of time required to sell the asset beyond one year; </w:t>
      </w:r>
    </w:p>
    <w:p>
      <w:pPr>
        <w:pStyle w:val="TextBody"/>
        <w:bidi w:val="0"/>
        <w:spacing w:lineRule="auto" w:line="333"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5.The asset is being actively marketed for sale at a price that is reasonable in relation to its current fair value; and </w:t>
      </w:r>
    </w:p>
    <w:p>
      <w:pPr>
        <w:pStyle w:val="TextBody"/>
        <w:bidi w:val="0"/>
        <w:spacing w:lineRule="auto" w:line="333"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6.Actions required to complete the plan indicate that it is unlikely that significant changes to the plan will be made or that the plan will be withdrawn.</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initially measures long-lived assets that are classified as held for sale at the lower of their carrying amount or fair value less any costs to sell. Any loss resulting from remeasurement is recognized in the period in which the held-for-sale criteria are met. Conversely, potential gains are not recognized on long-lived assets until the date of sale. The Company assesses the fair value of a long-lived asset, less any costs to sell, in each reporting period it remains classified as held for sale, and reports any subsequent changes as an adjustment to the carrying value of the asset, as long as the new carrying value does not exceed the carrying value of the asset at the time it was initially classified as held for sale. Refer to Note 6 – Assets Held for Sale for further information.</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Recognition of Cryptocurrency Mining Revenue</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Ionic Digital participates in a third-party operated mining pool to which the Company provides the service of performing hash calculations, an output of the Company’s ordinary activities. </w:t>
      </w:r>
    </w:p>
    <w:p>
      <w:pPr>
        <w:pStyle w:val="TextBody"/>
        <w:bidi w:val="0"/>
        <w:spacing w:lineRule="auto" w:line="333" w:before="120" w:after="120"/>
        <w:jc w:val="both"/>
        <w:rPr/>
      </w:pPr>
      <w:r>
        <w:rPr>
          <w:rFonts w:ascii="Times New Roman;serif" w:hAnsi="Times New Roman;serif"/>
          <w:b w:val="false"/>
          <w:color w:val="000000"/>
          <w:sz w:val="20"/>
        </w:rPr>
        <w:t>The Company recognizes revenue under ASC 606, </w:t>
      </w:r>
      <w:r>
        <w:rPr>
          <w:rFonts w:ascii="Times New Roman;serif" w:hAnsi="Times New Roman;serif"/>
          <w:b w:val="false"/>
          <w:i/>
          <w:color w:val="000000"/>
          <w:sz w:val="20"/>
        </w:rPr>
        <w:t>Revenue from Contracts with Customers</w:t>
      </w:r>
      <w:r>
        <w:rPr>
          <w:color w:val="000000"/>
        </w:rPr>
        <w:t> </w:t>
      </w:r>
      <w:r>
        <w:rPr>
          <w:rFonts w:ascii="Times New Roman;serif" w:hAnsi="Times New Roman;serif"/>
          <w:b w:val="false"/>
          <w:color w:val="000000"/>
          <w:sz w:val="20"/>
        </w:rPr>
        <w:t>(“ASC 606”). The core principle of this standard is that a company should recognize revenue to depict the transfer of promised goods or services to customers at an amount that reflects the consideration to which the Company expects to be entitled in exchange for those goods or services. The following five steps are applied to achieve that core principle:</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Step 1: Identify the contract with the customer</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Step 2: Identify the performance obligations in the contract</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Step 3: Determine the transaction price</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Step 4: Allocate the transaction price to the performance obligations in the contract</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Step 5: Recognize revenue when the Company satisfies a performance obligation</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Step 1: The Company has identified the third-party mining pool operator as its customer (the "Customer"). The Company enters into a contract with the Customer to provide its hash calculations to the Customer's mining pool. The contracts are terminable without penalty at any time by either party; thus, the contract term is shorter than a 24-hour period and the contracts are continuously renewed.</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Applying the criteria per ASC 606-10-25-1, the contract arises at the point that the Company provides hash calculations to the Customer's mining pool, which is considered contract inception, because Customer consumption is in tandem with delivery of the hash calculations. </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33" w:before="120" w:after="120"/>
        <w:jc w:val="both"/>
        <w:rPr/>
      </w:pPr>
      <w:r>
        <w:rPr>
          <w:rFonts w:ascii="Times New Roman;serif" w:hAnsi="Times New Roman;serif"/>
          <w:b w:val="false"/>
          <w:i/>
          <w:color w:val="000000"/>
          <w:sz w:val="20"/>
        </w:rPr>
        <w:t xml:space="preserve">Step 2: </w:t>
      </w:r>
      <w:r>
        <w:rPr>
          <w:rFonts w:ascii="Times New Roman;serif" w:hAnsi="Times New Roman;serif"/>
          <w:b w:val="false"/>
          <w:color w:val="000000"/>
          <w:sz w:val="20"/>
        </w:rPr>
        <w:t xml:space="preserve">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 </w:t>
      </w:r>
    </w:p>
    <w:p>
      <w:pPr>
        <w:pStyle w:val="TextBody"/>
        <w:bidi w:val="0"/>
        <w:spacing w:lineRule="auto" w:line="333" w:before="0" w:after="120"/>
        <w:ind w:left="0" w:right="0" w:hanging="360"/>
        <w:jc w:val="both"/>
        <w:rPr/>
      </w:pPr>
      <w:r>
        <w:rPr>
          <w:color w:val="000000"/>
        </w:rPr>
        <w:t>●</w:t>
      </w:r>
      <w:r>
        <w:rPr>
          <w:rFonts w:ascii="Times New Roman;serif" w:hAnsi="Times New Roman;serif"/>
          <w:b w:val="false"/>
          <w:color w:val="000000"/>
          <w:sz w:val="20"/>
        </w:rPr>
        <w:t xml:space="preserve">The customer can benefit from the good or service either on its own or together with other resources that are readily available to the customer (i.e., the good or service is capable of being distinct), and </w:t>
      </w:r>
    </w:p>
    <w:p>
      <w:pPr>
        <w:pStyle w:val="TextBody"/>
        <w:bidi w:val="0"/>
        <w:spacing w:lineRule="auto" w:line="333" w:before="0" w:after="120"/>
        <w:ind w:left="0" w:right="0" w:hanging="360"/>
        <w:jc w:val="both"/>
        <w:rPr/>
      </w:pPr>
      <w:r>
        <w:rPr>
          <w:color w:val="000000"/>
        </w:rPr>
        <w:t>●</w:t>
      </w:r>
      <w:r>
        <w:rPr>
          <w:rFonts w:ascii="Times New Roman;serif" w:hAnsi="Times New Roman;serif"/>
          <w:b w:val="false"/>
          <w:color w:val="000000"/>
          <w:sz w:val="20"/>
        </w:rPr>
        <w:t>The entity’s promise to transfer the good or service to the customer is separately identifiable from other promises in the contract (i.e., the promise to transfer the good or service is distinct within the context of the contract).</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identified a single performance obligation of providing hash calculations for the mining pool operator. The continuous renewal options do not represent material rights because they do not provide the Customer with the right to purchase additional goods or services at a discount. Specifically, the contract is renewed with the same terms, conditions, and rate as the current contract, which is consistent with market rates, and there are no upfront or incremental fees in the initial contract. The Company has full control of the mining equipment used in the mining pool, and if the Company determines it will increase or decrease the hashrate (the speed at which mining equipment can perform hash calculations) of its machines and/or fleet (i.e., for repairs or when power costs are excessive), the hashrate provided to the Customer will correspondingly increase or decrease.</w:t>
      </w:r>
    </w:p>
    <w:p>
      <w:pPr>
        <w:pStyle w:val="TextBody"/>
        <w:bidi w:val="0"/>
        <w:spacing w:lineRule="auto" w:line="333" w:before="120" w:after="120"/>
        <w:jc w:val="both"/>
        <w:rPr/>
      </w:pPr>
      <w:r>
        <w:rPr>
          <w:rFonts w:ascii="Times New Roman;serif" w:hAnsi="Times New Roman;serif"/>
          <w:b w:val="false"/>
          <w:i/>
          <w:color w:val="000000"/>
          <w:sz w:val="20"/>
        </w:rPr>
        <w:t xml:space="preserve">Step 3: </w:t>
      </w:r>
      <w:r>
        <w:rPr>
          <w:rFonts w:ascii="Times New Roman;serif" w:hAnsi="Times New Roman;serif"/>
          <w:b w:val="false"/>
          <w:color w:val="000000"/>
          <w:sz w:val="20"/>
        </w:rPr>
        <w:t>The transaction price is the amount of consideration to which an entity expects to be entitled in exchange for transferring promised goods or services to a customer. The consideration promised in a contract with a customer may include fixed amounts, variable amounts, or both. When determining the transaction price, an entity must consider the effects of all the following:</w:t>
      </w:r>
    </w:p>
    <w:p>
      <w:pPr>
        <w:pStyle w:val="TextBody"/>
        <w:bidi w:val="0"/>
        <w:spacing w:lineRule="auto" w:line="333" w:before="0" w:after="120"/>
        <w:ind w:left="0" w:right="0" w:hanging="360"/>
        <w:jc w:val="both"/>
        <w:rPr/>
      </w:pPr>
      <w:r>
        <w:rPr>
          <w:color w:val="000000"/>
        </w:rPr>
        <w:t>●</w:t>
      </w:r>
      <w:r>
        <w:rPr>
          <w:rFonts w:ascii="Times New Roman;serif" w:hAnsi="Times New Roman;serif"/>
          <w:b w:val="false"/>
          <w:color w:val="000000"/>
          <w:sz w:val="20"/>
        </w:rPr>
        <w:t>Variable consideration</w:t>
      </w:r>
    </w:p>
    <w:p>
      <w:pPr>
        <w:pStyle w:val="TextBody"/>
        <w:bidi w:val="0"/>
        <w:spacing w:lineRule="auto" w:line="333" w:before="0" w:after="120"/>
        <w:ind w:left="0" w:right="0" w:hanging="360"/>
        <w:jc w:val="both"/>
        <w:rPr/>
      </w:pPr>
      <w:r>
        <w:rPr>
          <w:color w:val="000000"/>
        </w:rPr>
        <w:t>●</w:t>
      </w:r>
      <w:r>
        <w:rPr>
          <w:rFonts w:ascii="Times New Roman;serif" w:hAnsi="Times New Roman;serif"/>
          <w:b w:val="false"/>
          <w:color w:val="000000"/>
          <w:sz w:val="20"/>
        </w:rPr>
        <w:t>Constraining estimates of variable consideration</w:t>
      </w:r>
    </w:p>
    <w:p>
      <w:pPr>
        <w:pStyle w:val="TextBody"/>
        <w:bidi w:val="0"/>
        <w:spacing w:lineRule="auto" w:line="333" w:before="0" w:after="120"/>
        <w:ind w:left="0" w:right="0" w:hanging="360"/>
        <w:jc w:val="both"/>
        <w:rPr/>
      </w:pPr>
      <w:r>
        <w:rPr>
          <w:color w:val="000000"/>
        </w:rPr>
        <w:t>●</w:t>
      </w:r>
      <w:r>
        <w:rPr>
          <w:rFonts w:ascii="Times New Roman;serif" w:hAnsi="Times New Roman;serif"/>
          <w:b w:val="false"/>
          <w:color w:val="000000"/>
          <w:sz w:val="20"/>
        </w:rPr>
        <w:t>The existence of a significant financing component in the contract</w:t>
      </w:r>
    </w:p>
    <w:p>
      <w:pPr>
        <w:pStyle w:val="TextBody"/>
        <w:bidi w:val="0"/>
        <w:spacing w:lineRule="auto" w:line="333" w:before="0" w:after="120"/>
        <w:ind w:left="0" w:right="0" w:hanging="360"/>
        <w:jc w:val="both"/>
        <w:rPr/>
      </w:pPr>
      <w:r>
        <w:rPr>
          <w:color w:val="000000"/>
        </w:rPr>
        <w:t>●</w:t>
      </w:r>
      <w:r>
        <w:rPr>
          <w:rFonts w:ascii="Times New Roman;serif" w:hAnsi="Times New Roman;serif"/>
          <w:b w:val="false"/>
          <w:color w:val="000000"/>
          <w:sz w:val="20"/>
        </w:rPr>
        <w:t>Noncash consideration</w:t>
      </w:r>
    </w:p>
    <w:p>
      <w:pPr>
        <w:pStyle w:val="TextBody"/>
        <w:bidi w:val="0"/>
        <w:spacing w:lineRule="auto" w:line="333" w:before="0" w:after="120"/>
        <w:ind w:left="0" w:right="0" w:hanging="360"/>
        <w:jc w:val="both"/>
        <w:rPr/>
      </w:pPr>
      <w:r>
        <w:rPr>
          <w:color w:val="000000"/>
        </w:rPr>
        <w:t>●</w:t>
      </w:r>
      <w:r>
        <w:rPr>
          <w:rFonts w:ascii="Times New Roman;serif" w:hAnsi="Times New Roman;serif"/>
          <w:b w:val="false"/>
          <w:color w:val="000000"/>
          <w:sz w:val="20"/>
        </w:rPr>
        <w:t>Consideration payable to a customer</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Variable consideration is included in the transaction price only to the extent that it is probable that a significant reversal in the amount of cumulative revenue recognized will not occur when the uncertainty associated with the variable consideration is subsequently resolved. There are no other forms of variable consideration such as discounts, rebates, credits, price concessions, incentives, performance bonuses, penalties, or other similar items.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In exchange for providing hash calculations the Company is entitled to receive noncash consideration, payable in bitcoin, from the mining pool operator. Bitcoin earned and recognized is variable from day to day based on the payout model. The amount of compensation due to the Company is determined using the Full Pay Per Share (“FPPS”) payout model detailed in the mining pool operator contract. FPPS contains three components, (1) a fractional share of the fixed crypto asset award from the mining pool operator (referred to as a “network block subsidies”), (2) network transaction fees generated from (paid by) blockchain users to execute transactions and distributed (paid out) to individual miners by the mining pool operator, (3) pool operating fees. The Company’s total compensation is calculated as the sum of the Company’s share of (1) Network Block Subsidies and (2) Network Transaction Fees, less (3) Pool Operating Fees.</w:t>
      </w:r>
    </w:p>
    <w:p>
      <w:pPr>
        <w:pStyle w:val="TextBody"/>
        <w:bidi w:val="0"/>
        <w:spacing w:lineRule="auto" w:line="333" w:before="120" w:after="120"/>
        <w:jc w:val="both"/>
        <w:rPr>
          <w:color w:val="000000"/>
        </w:rPr>
      </w:pPr>
      <w:r>
        <w:rPr>
          <w:color w:val="000000"/>
        </w:rPr>
        <w:t>“</w:t>
      </w:r>
      <w:r>
        <w:rPr>
          <w:rFonts w:ascii="Times New Roman;serif" w:hAnsi="Times New Roman;serif"/>
          <w:b w:val="false"/>
          <w:color w:val="000000"/>
          <w:sz w:val="20"/>
        </w:rPr>
        <w:t>Network Block Subsidies” means the total amount of block subsidies that are expected to be generated on the Bitcoin network during the 24-hour period beginning at 00:00:00 UTC daily (i.e., the measurement period) and ending at 23:59:59 UTC the same day, regardless of whether the mining pool operator successfully records a block to the blockchain.</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share of Network Block Subsidies earned for each measurement period is determined by dividing (a) the total amount of hashrate Ionic Digital provides to the mining pool operator, by (b) the total Bitcoin network’s implied hashrate (as determined by the Bitcoin network difficulty), multiplied by (c) the Network Block Subsidies.</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33" w:before="120" w:after="120"/>
        <w:jc w:val="both"/>
        <w:rPr>
          <w:color w:val="000000"/>
        </w:rPr>
      </w:pPr>
      <w:r>
        <w:rPr>
          <w:color w:val="000000"/>
        </w:rPr>
        <w:t>“</w:t>
      </w:r>
      <w:r>
        <w:rPr>
          <w:rFonts w:ascii="Times New Roman;serif" w:hAnsi="Times New Roman;serif"/>
          <w:b w:val="false"/>
          <w:color w:val="000000"/>
          <w:sz w:val="20"/>
        </w:rPr>
        <w:t>Network Transaction Fees” means the total amount of transaction fees that are generated on the Bitcoin network during the measurement period.</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share of Network Transaction Fees earned for each measurement period is determined by dividing (a) the total amount of Network Transaction Fees, by (b) the total amount of Network Block Subsidies that are generated on the Bitcoin network, multiplied by (c) Ionic Digital’s share of Network Block Subsidies. </w:t>
      </w:r>
    </w:p>
    <w:p>
      <w:pPr>
        <w:pStyle w:val="TextBody"/>
        <w:bidi w:val="0"/>
        <w:spacing w:lineRule="auto" w:line="333" w:before="120" w:after="120"/>
        <w:jc w:val="both"/>
        <w:rPr>
          <w:color w:val="000000"/>
        </w:rPr>
      </w:pPr>
      <w:r>
        <w:rPr>
          <w:color w:val="000000"/>
        </w:rPr>
        <w:t>“</w:t>
      </w:r>
      <w:r>
        <w:rPr>
          <w:rFonts w:ascii="Times New Roman;serif" w:hAnsi="Times New Roman;serif"/>
          <w:b w:val="false"/>
          <w:color w:val="000000"/>
          <w:sz w:val="20"/>
        </w:rPr>
        <w:t>Pool Operating Fees” means the fees charged by the mining pool operator for operating the mining pool as set forth on a rate schedule to the mining pool contract. The Pool Operating Fees reduce the total amount of compensation the Company receives and are only incurred to the extent that it has generated mining revenue during the measurement period.</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Customer provides services solely for bitcoin mining and the fees charged during the most recent fiscal quarter were 1.8% of the total daily bitcoin mined. The Pool Operating Fees represent consideration paid to the Customer; therefore, since the Company does not receive a distinct good or service from the mining pool operator in exchange for the fees paid, the Pool Operating Fees are reported as a reduction in revenue.</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For each contract, the Company measures the consideration at fair value based on the quoted price of bitcoin at the 00:00:00 UTC spot price on the date of contract inception, as determined by the Company’s principal market, Coinbase. The Company recognizes this noncash consideration on the same day that control of the contract service transfers to the mining pool operator, which is the same day as contract inception.</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Daily settlements are made to the Company by the Customer based on the hash calculations provided over the contract periods over a 24-hour period and the payout is made the following day.</w:t>
      </w:r>
    </w:p>
    <w:p>
      <w:pPr>
        <w:pStyle w:val="TextBody"/>
        <w:bidi w:val="0"/>
        <w:spacing w:lineRule="auto" w:line="333" w:before="120" w:after="120"/>
        <w:jc w:val="both"/>
        <w:rPr/>
      </w:pPr>
      <w:r>
        <w:rPr>
          <w:rFonts w:ascii="Times New Roman;serif" w:hAnsi="Times New Roman;serif"/>
          <w:b w:val="false"/>
          <w:color w:val="000000"/>
          <w:sz w:val="20"/>
        </w:rPr>
        <w:t>There is no significant financing component, deferred revenue, or other obligations in these transactions since there are no payments in advance of the performance,</w:t>
      </w:r>
      <w:r>
        <w:rPr>
          <w:color w:val="000000"/>
        </w:rPr>
        <w:t xml:space="preserve"> </w:t>
      </w:r>
      <w:r>
        <w:rPr>
          <w:rFonts w:ascii="Times New Roman;serif" w:hAnsi="Times New Roman;serif"/>
          <w:b w:val="false"/>
          <w:color w:val="000000"/>
          <w:sz w:val="20"/>
        </w:rPr>
        <w:t>and there are no remaining performance obligations after providing hash calculations.</w:t>
      </w:r>
    </w:p>
    <w:p>
      <w:pPr>
        <w:pStyle w:val="TextBody"/>
        <w:bidi w:val="0"/>
        <w:spacing w:lineRule="auto" w:line="333" w:before="120" w:after="120"/>
        <w:jc w:val="both"/>
        <w:rPr/>
      </w:pPr>
      <w:r>
        <w:rPr>
          <w:rFonts w:ascii="Times New Roman;serif" w:hAnsi="Times New Roman;serif"/>
          <w:b w:val="false"/>
          <w:i/>
          <w:color w:val="000000"/>
          <w:sz w:val="20"/>
        </w:rPr>
        <w:t xml:space="preserve">Step 4: </w:t>
      </w:r>
      <w:r>
        <w:rPr>
          <w:rFonts w:ascii="Times New Roman;serif" w:hAnsi="Times New Roman;serif"/>
          <w:b w:val="false"/>
          <w:color w:val="000000"/>
          <w:sz w:val="20"/>
        </w:rPr>
        <w:t xml:space="preserve">The transaction price is allocated to the single performance obligation of providing hash calculations to the customer. </w:t>
      </w:r>
    </w:p>
    <w:p>
      <w:pPr>
        <w:pStyle w:val="TextBody"/>
        <w:bidi w:val="0"/>
        <w:spacing w:lineRule="auto" w:line="333" w:before="120" w:after="120"/>
        <w:jc w:val="both"/>
        <w:rPr/>
      </w:pPr>
      <w:r>
        <w:rPr>
          <w:rFonts w:ascii="Times New Roman;serif" w:hAnsi="Times New Roman;serif"/>
          <w:b w:val="false"/>
          <w:i/>
          <w:color w:val="000000"/>
          <w:sz w:val="20"/>
        </w:rPr>
        <w:t>Step 5</w:t>
      </w:r>
      <w:r>
        <w:rPr>
          <w:rFonts w:ascii="Times New Roman;serif" w:hAnsi="Times New Roman;serif"/>
          <w:b w:val="false"/>
          <w:color w:val="000000"/>
          <w:sz w:val="20"/>
        </w:rPr>
        <w:t>: The Company’s performance is completed over time as the customer obtains control of the contributed hashrate. The performance obligation of hash calculations is fulfilled over time, as opposed to a point in time, because the Company provides the hash calculations throughout the contract period and the customer simultaneously obtains control of the service and uses it to produce bitcoin.</w:t>
      </w:r>
      <w:r>
        <w:rPr>
          <w:color w:val="000000"/>
        </w:rPr>
        <w:t xml:space="preserve"> </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Recognition of leasing revenue</w:t>
      </w:r>
    </w:p>
    <w:p>
      <w:pPr>
        <w:pStyle w:val="TextBody"/>
        <w:bidi w:val="0"/>
        <w:spacing w:lineRule="auto" w:line="333" w:before="120" w:after="120"/>
        <w:jc w:val="both"/>
        <w:rPr/>
      </w:pPr>
      <w:r>
        <w:rPr>
          <w:rFonts w:ascii="Times New Roman;serif" w:hAnsi="Times New Roman;serif"/>
          <w:b w:val="false"/>
          <w:color w:val="000000"/>
          <w:sz w:val="20"/>
        </w:rPr>
        <w:t xml:space="preserve">The Company generates revenue from an agreement to provide digital infrastructure solutions at its Ward County facility. The arrangement has both lease and non-lease components, and the arrangement will primarily be accounted for in accordance with ASC 842,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(“ASC 842”), while certain non-lease components will be accounted for in accordance with ASC 606.</w:t>
      </w:r>
    </w:p>
    <w:p>
      <w:pPr>
        <w:pStyle w:val="TextBody"/>
        <w:bidi w:val="0"/>
        <w:spacing w:lineRule="auto" w:line="333" w:before="120" w:after="120"/>
        <w:jc w:val="both"/>
        <w:rPr/>
      </w:pPr>
      <w:r>
        <w:rPr>
          <w:rFonts w:ascii="Times New Roman;serif" w:hAnsi="Times New Roman;serif"/>
          <w:b w:val="false"/>
          <w:color w:val="000000"/>
          <w:sz w:val="20"/>
        </w:rPr>
        <w:t xml:space="preserve">See further discussion in </w:t>
      </w:r>
      <w:r>
        <w:rPr>
          <w:color w:val="000000"/>
        </w:rPr>
        <w:t>–</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herein, as well as in Note 8 – Leases.</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recognizes stock-based compensation expense for all stock-based awards made to employees, directors, consultants, and service providers, if any, based upon the estimated grant-date fair value of the awards.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fair value of stock-based compensation awards is amortized over the vesting period, which is defined as the period during which a recipient is required to provide service in exchange for an award. The Company generally uses a graded vesting method for all grants. Awards with both market and service conditions are expensed over the vesting period for each separately vesting tranche. The Company accounts for forfeitures of stock-based awards as they occur.</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For more complex performance awards, including awards with market conditions, the fair value is estimated using the Black-Scholes option pricing model or Monte-Carlo simulations, which take into account the exercise price, the term of the option or the restricted stock units (“RSUs”), the impact of dilution, the share price at grant date, expected price volatility of the underlying share, the expected dividend yield and the risk-free interest rate for the term of the option, together with non-vesting conditions that do not determine whether the Company receives the services that entitle the employees to receive payment.</w:t>
      </w:r>
    </w:p>
    <w:p>
      <w:pPr>
        <w:pStyle w:val="TextBody"/>
        <w:bidi w:val="0"/>
        <w:spacing w:lineRule="auto" w:line="333" w:before="120" w:after="120"/>
        <w:jc w:val="both"/>
        <w:rPr/>
      </w:pPr>
      <w:r>
        <w:rPr>
          <w:rFonts w:ascii="Times New Roman;serif" w:hAnsi="Times New Roman;serif"/>
          <w:b w:val="false"/>
          <w:color w:val="000000"/>
          <w:sz w:val="20"/>
        </w:rPr>
        <w:t xml:space="preserve">In accordance with ASC 718, </w:t>
      </w:r>
      <w:r>
        <w:rPr>
          <w:rFonts w:ascii="Times New Roman;serif" w:hAnsi="Times New Roman;serif"/>
          <w:b w:val="false"/>
          <w:i/>
          <w:color w:val="000000"/>
          <w:sz w:val="20"/>
        </w:rPr>
        <w:t>Stock Compensation</w:t>
      </w:r>
      <w:r>
        <w:rPr>
          <w:color w:val="000000"/>
        </w:rPr>
        <w:t xml:space="preserve"> </w:t>
      </w:r>
      <w:r>
        <w:rPr>
          <w:rFonts w:ascii="Times New Roman;serif" w:hAnsi="Times New Roman;serif"/>
          <w:b w:val="false"/>
          <w:color w:val="000000"/>
          <w:sz w:val="20"/>
        </w:rPr>
        <w:t>(“ASC 718”), stock-based compensation for awards with market conditions is recognized over the vesting period, regardless of whether the market condition is ultimately achieved will only be adjusted to the extent the service condition is not met.</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If stock-based awards are modified, as a minimum, an expense is recognized as if the modification has not been made. An additional expense is recognized, over the remaining vesting period, for any modification that increases the total fair value of the stock-based compensation benefit as at the date of modification.</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If stock-based awards are cancelled or settled during the vesting period (other than a grant cancelled by forfeiture when the vesting conditions are not satisfied), this is treated as an acceleration of vesting and the amount that otherwise would have been recognized for services received over the remainder of the vesting period will be recognized immediately through stock-based compensation expense in earnings.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classifies its stock-based compensation within “General and administrative expenses” on the Condensed Consolidated Statements of Operations. Refer to Note 11 – Stock-based Compensation.</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333" w:before="120" w:after="120"/>
        <w:jc w:val="both"/>
        <w:rPr/>
      </w:pPr>
      <w:r>
        <w:rPr>
          <w:rFonts w:ascii="Times New Roman;serif" w:hAnsi="Times New Roman;serif"/>
          <w:b w:val="false"/>
          <w:color w:val="000000"/>
          <w:sz w:val="20"/>
        </w:rPr>
        <w:t xml:space="preserve">Leases are accounted for in accordance with ASC 842,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(“ASC 842”). The Company has lease arrangements both as a lessor and a lessee. At the inception of an arrangement, the Company determines whether the contract is or contains a lease based on specific facts and circumstances, the existence of an identified asset, if any, and the Company’s control over the use of the identified asset, if applicable.</w:t>
      </w:r>
    </w:p>
    <w:p>
      <w:pPr>
        <w:pStyle w:val="TextBody"/>
        <w:bidi w:val="0"/>
        <w:spacing w:lineRule="auto" w:line="333"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Lessor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Lease arrangements wherein the Company retains ownership of the underlying asset and grants a customer the right to use its asset are classified by the Company as an operating lease. Lease revenue is recognized on a straight-line basis and the associated leased assets are depreciated.</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On October 14, 2025, the Company entered into an arrangement to provide digital infrastructure solutions to a customer at its Ward County facility. The arrangement includes both lease and non-lease components, certain of which are directly related to the lease components and the Company has elected to combine those related lease and non-lease components. The Company will account for the combined lease and non-lease components as Digital infrastructure leasing revenue in the Condensed Consolidated Statements of Operations. See further discussion in Note 8 – Leases.</w:t>
      </w:r>
    </w:p>
    <w:p>
      <w:pPr>
        <w:pStyle w:val="TextBody"/>
        <w:bidi w:val="0"/>
        <w:spacing w:lineRule="auto" w:line="333" w:before="120" w:after="120"/>
        <w:jc w:val="both"/>
        <w:rPr>
          <w:rFonts w:ascii="Times New Roman;serif" w:hAnsi="Times New Roman;serif"/>
          <w:b w:val="false"/>
          <w:i/>
          <w:color w:val="000000"/>
          <w:sz w:val="20"/>
        </w:rPr>
      </w:pPr>
      <w:r>
        <w:rPr>
          <w:rFonts w:ascii="Times New Roman;serif" w:hAnsi="Times New Roman;serif"/>
          <w:b w:val="false"/>
          <w:i/>
          <w:color w:val="000000"/>
          <w:sz w:val="20"/>
        </w:rPr>
        <w:t>Lessee</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categorizes leases with contractual terms longer than twelve months as either operating or finance. Finance leases are generally those leases that allow the Company to substantially utilize or pay for the entire asset over its estimated life. All other leases are categorized as operating leases and related expenses are recognized on a straight-line basis over the term of the related contract within General and administrative expenses in the Condensed Consolidated Statements of Operations.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records right-of-use (“ROU”) assets and lease obligations for its finance and operating leases, which are initially recognized based on the present value of future minimum lease payments over the term of the lease. As the rate implicit in the Company’s leases is not easily determinable, in determining the present value of the lease payments the Company uses an incremental borrowing rate based on the estimated rate of interest for collateralized borrowings over a similar term of the lease payments. Lease expenses are recognized on a straight-line basis over the lease term.</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lease term is defined as the non-cancellable period of the lease plus any options to extend or terminate the lease when it is reasonably certain that the Company will exercise the option. The Company has elected not to recognize ROU asset and lease obligations for its short-term leases, which are defined as leases with an initial term of 12 months or less. Some leases include multiple-year renewal options. The Company’s decision to exercise these renewal options is based on an assessment of its current business needs and market factors at the time of the renewal.</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For all classes of underlying assets, the Company has elected to separate lease and non-lease components.</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333" w:before="120" w:after="120"/>
        <w:jc w:val="both"/>
        <w:rPr/>
      </w:pPr>
      <w:r>
        <w:rPr>
          <w:rFonts w:ascii="Times New Roman;serif" w:hAnsi="Times New Roman;serif"/>
          <w:b w:val="false"/>
          <w:color w:val="000000"/>
          <w:sz w:val="20"/>
        </w:rPr>
        <w:t xml:space="preserve">Goodwill represents the cost of a business acquisition in excess of the fair value of the net assets acquired. In accordance with ASC 350, </w:t>
      </w:r>
      <w:r>
        <w:rPr>
          <w:rFonts w:ascii="Times New Roman;serif" w:hAnsi="Times New Roman;serif"/>
          <w:b w:val="false"/>
          <w:i/>
          <w:color w:val="000000"/>
          <w:sz w:val="20"/>
        </w:rPr>
        <w:t xml:space="preserve">Goodwill and Other Intangible Assets </w:t>
      </w:r>
      <w:r>
        <w:rPr>
          <w:rFonts w:ascii="Times New Roman;serif" w:hAnsi="Times New Roman;serif"/>
          <w:b w:val="false"/>
          <w:color w:val="000000"/>
          <w:sz w:val="20"/>
        </w:rPr>
        <w:t>(“ASC 350”), the Company reviews its goodwill for impairment annually or whenever events or circumstances indicate that the carrying amount of the asset exceeds its fair value and may not be recoverable. Triggering events that may indicate a potential impairment include but are not limited to significant adverse changes in bitcoin prices or business climate and related competitive considerations. The Company may first perform a qualitative assessment to determine whether it is more likely than not that the fair value of a reporting unit is less than its carrying amount but also has the option to bypass the qualitative assessment in any period and proceed directly to performing the quantitative analysis. If the Company performs a qualitative test and determines it is more likely than not that the fair value of a reporting unit is less than is carrying amount, the Company performs a quantitative goodwill impairment test to compare the estimated fair value of the reporting unit to its carrying amount. Impairment is indicated if the estimated fair value of the reporting unit is less than the carrying amount of the reporting unit, and an impairment charge is recognized for the difference, not to exceed the carrying value of goodwill.</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See further discussion of the goodwill impairment testing performed in Note 10 – Goodwill. </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333" w:before="120" w:after="120"/>
        <w:jc w:val="both"/>
        <w:rPr/>
      </w:pPr>
      <w:r>
        <w:rPr>
          <w:rFonts w:ascii="Times New Roman;serif" w:hAnsi="Times New Roman;serif"/>
          <w:b w:val="false"/>
          <w:color w:val="000000"/>
          <w:sz w:val="20"/>
        </w:rPr>
        <w:t xml:space="preserve">The Company complies with the accounting and reporting requirements of ASC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(“ASC 740”), which requires use of the asset and liability method wherein deferred tax assets and liabilities are recognized for the future tax consequences attributable to temporary differences between the financial statement carrying amounts of existing assets and liabilities and their respective tax bases, as well as operating loss and tax credit carryforwards. Deferred tax assets and liabilities are measured using enacted tax rates expected to be in effect for the years in which those temporary differences are expected to be recovered or settled. A valuation allowance is required to the extent any deferred tax assets may not be realizable.</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also follows US GAAP in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 likely than not to be sustained upon examination by taxing authorities. The Company’s policy is to record interest and penalties associated with uncertain tax positions through income tax expense. There were no material unrecognized benefits or associated interest or penalties as of the periods provided for in these financial statements.</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segments are defined as components of an enterprise about which separate financial information is available that is regularly reviewed by the chief operating decision maker (“CODM”). The CODM of the Company is the Chief Executive Officer. The CODM reviews financial performance at a segment level. Accordingly, the Company has two operating segments, and the Company discloses both segments in its condensed consolidated financial statements. </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Recent accounting pronouncements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continually assesses any new accounting pronouncements to determine their applicability. When it is determined that a new accounting pronouncement affects the Company’s financial reporting, the Company undertakes a study to determine the consequences of the change on its consolidated financial statements and assures that there are proper controls in place to ascertain that the Company’s consolidated financial statements properly reflect the change.</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333" w:before="120" w:after="12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This ASU requires public business entities to provide more detailed disclosures in the notes to their financial statements, both for interim and annual reporting periods, about certain expenses such as purchases of inventory, employee compensation, depreciation, and intangible asset amortization. The amendments in this ASU are effective for annual reporting periods beginning after December 15, 2026, and interim reporting periods within annual reporting periods beginning after December 15, 2027. Early adoption is permitted. The Company is currently assessing the potential impact of this standard’s adoption.</w:t>
      </w:r>
    </w:p>
    <w:p>
      <w:pPr>
        <w:pStyle w:val="TextBody"/>
        <w:bidi w:val="0"/>
        <w:spacing w:lineRule="auto" w:line="333" w:before="120" w:after="120"/>
        <w:jc w:val="both"/>
        <w:rPr/>
      </w:pPr>
      <w:r>
        <w:rPr>
          <w:rFonts w:ascii="Times New Roman;serif" w:hAnsi="Times New Roman;serif"/>
          <w:b w:val="false"/>
          <w:color w:val="000000"/>
          <w:sz w:val="20"/>
        </w:rPr>
        <w:t>In May 2025, the FASB issued ASU 2025-05</w:t>
      </w:r>
      <w:r>
        <w:rPr>
          <w:rFonts w:ascii="Times New Roman;serif" w:hAnsi="Times New Roman;serif"/>
          <w:b w:val="false"/>
          <w:i/>
          <w:color w:val="000000"/>
          <w:sz w:val="20"/>
        </w:rPr>
        <w:t>, Financial Instruments—Credit Losses (Topic 326): Measurement of Credit Losses for Accounts Receivable and Contract Assets</w:t>
      </w:r>
      <w:r>
        <w:rPr>
          <w:rFonts w:ascii="Times New Roman;serif" w:hAnsi="Times New Roman;serif"/>
          <w:b w:val="false"/>
          <w:color w:val="000000"/>
          <w:sz w:val="20"/>
        </w:rPr>
        <w:t>. This ASU introduces simplifications for estimating credit losses on current accounts receivable and contract assets arising from Topic 606 (Revenue from Contracts with Customers). It provides one key relief for the Company: a practical expedient allowing entities to assume that current economic conditions remain unchanged over the life of these assets. These changes aim to reduce the cost and complexity of applying the credit loss model, especially for assets acquired in business combinations or through consolidation of variable interest entities. The Company adopted the simplified method available to it in estimating allowance for credit losses as of January 1, 2026, which had an immaterial impact.</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20"/>
        <w:jc w:val="both"/>
        <w:rPr/>
      </w:pPr>
      <w:r>
        <w:rPr/>
      </w:r>
    </w:p>
    <w:p>
      <w:pPr>
        <w:pStyle w:val="TextBody"/>
        <w:bidi w:val="0"/>
        <w:spacing w:lineRule="auto" w:line="333" w:before="0" w:after="120"/>
        <w:ind w:left="0" w:right="0" w:hanging="1080"/>
        <w:jc w:val="left"/>
        <w:rPr>
          <w:rFonts w:ascii="Times New Roman;serif" w:hAnsi="Times New Roman;serif"/>
          <w:b/>
          <w:color w:val="000000"/>
          <w:sz w:val="20"/>
        </w:rPr>
      </w:pPr>
      <w:r>
        <w:rPr>
          <w:rFonts w:ascii="Times New Roman;serif" w:hAnsi="Times New Roman;serif"/>
          <w:b/>
          <w:color w:val="000000"/>
          <w:sz w:val="20"/>
        </w:rPr>
        <w:t>NOTE 3. CRYPTOCURRENCY ASSETS</w:t>
      </w:r>
    </w:p>
    <w:p>
      <w:pPr>
        <w:pStyle w:val="TextBody"/>
        <w:bidi w:val="0"/>
        <w:spacing w:lineRule="auto" w:line="333" w:before="120" w:after="120"/>
        <w:jc w:val="both"/>
        <w:rPr/>
      </w:pPr>
      <w:r>
        <w:rPr>
          <w:rFonts w:ascii="Times New Roman;serif" w:hAnsi="Times New Roman;serif"/>
          <w:b w:val="false"/>
          <w:color w:val="000000"/>
          <w:sz w:val="20"/>
        </w:rPr>
        <w:t xml:space="preserve">The Company’s cryptocurrency assets are exclusively bitcoin. The following table presents information about cryptocurrency assets activity of the Company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147"/>
        <w:gridCol w:w="733"/>
        <w:gridCol w:w="737"/>
        <w:gridCol w:w="520"/>
        <w:gridCol w:w="520"/>
        <w:gridCol w:w="495"/>
        <w:gridCol w:w="169"/>
        <w:gridCol w:w="169"/>
        <w:gridCol w:w="169"/>
        <w:gridCol w:w="520"/>
        <w:gridCol w:w="520"/>
        <w:gridCol w:w="495"/>
        <w:gridCol w:w="133"/>
        <w:gridCol w:w="133"/>
        <w:gridCol w:w="133"/>
        <w:gridCol w:w="520"/>
        <w:gridCol w:w="520"/>
        <w:gridCol w:w="495"/>
        <w:gridCol w:w="158"/>
        <w:gridCol w:w="158"/>
        <w:gridCol w:w="158"/>
        <w:gridCol w:w="472"/>
        <w:gridCol w:w="472"/>
        <w:gridCol w:w="659"/>
      </w:tblGrid>
      <w:tr>
        <w:trPr/>
        <w:tc>
          <w:tcPr>
            <w:tcW w:w="114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33" w:after="30"/>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1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192,085    </w:t>
            </w:r>
          </w:p>
        </w:tc>
        <w:tc>
          <w:tcPr>
            <w:tcW w:w="507" w:type="dxa"/>
            <w:gridSpan w:val="3"/>
            <w:tcBorders/>
            <w:shd w:fill="CCEEFF" w:val="clear"/>
            <w:tcMar>
              <w:top w:w="0" w:type="dxa"/>
              <w:left w:w="0" w:type="dxa"/>
              <w:bottom w:w="0" w:type="dxa"/>
              <w:right w:w="0" w:type="dxa"/>
            </w:tcMar>
            <w:vAlign w:val="center"/>
          </w:tcPr>
          <w:p>
            <w:pPr>
              <w:pStyle w:val="TableContents"/>
              <w:bidi w:val="0"/>
              <w:spacing w:before="33" w:after="30"/>
              <w:jc w:val="right"/>
              <w:rPr/>
            </w:pPr>
            <w:r>
              <w:rPr/>
            </w:r>
          </w:p>
        </w:tc>
        <w:tc>
          <w:tcPr>
            <w:tcW w:w="1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203,727    </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237,947    </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223,438    </w:t>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pPr>
            <w:r>
              <w:rPr>
                <w:rFonts w:ascii="Times New Roman;serif" w:hAnsi="Times New Roman;serif"/>
                <w:b w:val="false"/>
                <w:color w:val="000000"/>
                <w:sz w:val="20"/>
              </w:rPr>
              <w:t>Addition to bitcoin from mining activities</w:t>
            </w:r>
            <w:r>
              <w:rPr>
                <w:rFonts w:ascii="Times New Roman;serif" w:hAnsi="Times New Roman;serif"/>
                <w:b w:val="false"/>
                <w:color w:val="000000"/>
                <w:sz w:val="13"/>
              </w:rPr>
              <w:t>(1)</w:t>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4,799    </w:t>
            </w:r>
          </w:p>
        </w:tc>
        <w:tc>
          <w:tcPr>
            <w:tcW w:w="507"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37,088    </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12,260    </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78,340    </w:t>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Consideration paid to hosting providers</w:t>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507"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(110)</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0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(291)</w:t>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pPr>
            <w:r>
              <w:rPr>
                <w:rFonts w:ascii="Times New Roman;serif" w:hAnsi="Times New Roman;serif"/>
                <w:b w:val="false"/>
                <w:color w:val="000000"/>
                <w:sz w:val="20"/>
              </w:rPr>
              <w:t>Carrying value of bitcoin disposed</w:t>
            </w:r>
            <w:r>
              <w:rPr>
                <w:rFonts w:ascii="Times New Roman;serif" w:hAnsi="Times New Roman;serif"/>
                <w:b w:val="false"/>
                <w:color w:val="000000"/>
                <w:sz w:val="13"/>
              </w:rPr>
              <w:t>(2)</w:t>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507"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(16,802)</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(32,136)</w:t>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Changes in fair value of bitcoin</w:t>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(28,204)</w:t>
            </w:r>
          </w:p>
        </w:tc>
        <w:tc>
          <w:tcPr>
            <w:tcW w:w="507"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46,780    </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(81,527)</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1,332    </w:t>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33" w:after="30"/>
              <w:jc w:val="left"/>
              <w:rPr/>
            </w:pPr>
            <w:r>
              <w:rPr>
                <w:rFonts w:ascii="Times New Roman;serif" w:hAnsi="Times New Roman;serif"/>
                <w:b/>
                <w:color w:val="000000"/>
                <w:sz w:val="20"/>
              </w:rPr>
              <w:t>Ending Balance</w:t>
            </w:r>
            <w:r>
              <w:rPr>
                <w:rFonts w:ascii="Times New Roman;serif" w:hAnsi="Times New Roman;serif"/>
                <w:b/>
                <w:color w:val="000000"/>
                <w:sz w:val="13"/>
              </w:rPr>
              <w:t>(3)</w:t>
            </w:r>
          </w:p>
        </w:tc>
        <w:tc>
          <w:tcPr>
            <w:tcW w:w="15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168,680    </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270,683    </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168,680    </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270,683    </w:t>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5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5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5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pPr>
            <w:r>
              <w:rPr>
                <w:rFonts w:ascii="Times New Roman;serif" w:hAnsi="Times New Roman;serif"/>
                <w:b w:val="false"/>
                <w:color w:val="000000"/>
                <w:sz w:val="20"/>
              </w:rPr>
              <w:t>Realized gain on sale of cryptocurrency assets</w:t>
            </w:r>
            <w:r>
              <w:rPr>
                <w:rFonts w:ascii="Times New Roman;serif" w:hAnsi="Times New Roman;serif"/>
                <w:b w:val="false"/>
                <w:color w:val="000000"/>
                <w:sz w:val="13"/>
              </w:rPr>
              <w:t>(4)</w:t>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507"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14,796    </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32,410    </w:t>
            </w:r>
          </w:p>
        </w:tc>
      </w:tr>
      <w:tr>
        <w:trPr/>
        <w:tc>
          <w:tcPr>
            <w:tcW w:w="10205" w:type="dxa"/>
            <w:gridSpan w:val="24"/>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(1) Net of mining pool operating fees, as described in Note 2 – Basis of Presentation and Significant Accounting Policies. The addition to bitcoin from mining activities excludes bitcoin receivable of $0.1 million and $0.4 million for the three and six months ended June 30, 2026 and 2025, respectively. Bitcoin receivable is included in Other receivables, net on the Condensed Consolidated Balance Sheets.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(2) Disposal is defined as the sale of bitcoin or payment of certain hosting costs in bitcoin.</w:t>
            </w:r>
          </w:p>
        </w:tc>
      </w:tr>
      <w:tr>
        <w:trPr/>
        <w:tc>
          <w:tcPr>
            <w:tcW w:w="10205" w:type="dxa"/>
            <w:gridSpan w:val="24"/>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(3) The ending balance of bitcoin holdings as of June 30, 2026 and 2025, represents the fair value.</w:t>
            </w:r>
          </w:p>
        </w:tc>
      </w:tr>
      <w:tr>
        <w:trPr/>
        <w:tc>
          <w:tcPr>
            <w:tcW w:w="10205" w:type="dxa"/>
            <w:gridSpan w:val="24"/>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6"/>
              </w:rPr>
            </w:pPr>
            <w:r>
              <w:rPr>
                <w:rFonts w:ascii="Times New Roman;serif" w:hAnsi="Times New Roman;serif"/>
                <w:b w:val="false"/>
                <w:color w:val="000000"/>
                <w:sz w:val="16"/>
              </w:rPr>
              <w:t>(4) No cumulative realized loss was recorded as of June 30, 2026 and 2025.</w:t>
            </w:r>
          </w:p>
        </w:tc>
      </w:tr>
    </w:tbl>
    <w:p>
      <w:pPr>
        <w:pStyle w:val="TextBody"/>
        <w:bidi w:val="0"/>
        <w:spacing w:lineRule="auto" w:line="333" w:before="240" w:after="240"/>
        <w:jc w:val="both"/>
        <w:rPr/>
      </w:pPr>
      <w:r>
        <w:rPr>
          <w:rFonts w:ascii="Times New Roman;serif" w:hAnsi="Times New Roman;serif"/>
          <w:b w:val="false"/>
          <w:color w:val="000000"/>
          <w:sz w:val="20"/>
        </w:rPr>
        <w:t>The following table represents the Company’s crypto asset holdings. The cost basis of bitcoin represents the valuation at the time the Company earns bitcoin through mining activities (</w:t>
      </w:r>
      <w:r>
        <w:rPr>
          <w:rFonts w:ascii="Times New Roman;serif" w:hAnsi="Times New Roman;serif"/>
          <w:b w:val="false"/>
          <w:i/>
          <w:color w:val="000000"/>
          <w:sz w:val="20"/>
        </w:rPr>
        <w:t>in thousands, except for bitcoin</w:t>
      </w:r>
      <w:r>
        <w:rPr>
          <w:rFonts w:ascii="Times New Roman;serif" w:hAnsi="Times New Roman;serif"/>
          <w:b w:val="false"/>
          <w:color w:val="000000"/>
          <w:sz w:val="20"/>
        </w:rPr>
        <w:t xml:space="preserve">): </w:t>
      </w:r>
    </w:p>
    <w:tbl>
      <w:tblPr>
        <w:tblW w:w="5559" w:type="dxa"/>
        <w:jc w:val="left"/>
        <w:tblInd w:w="0" w:type="dxa"/>
        <w:tblLayout w:type="fixed"/>
        <w:tblCellMar>
          <w:top w:w="28" w:type="dxa"/>
          <w:left w:w="28" w:type="dxa"/>
          <w:bottom w:w="28" w:type="dxa"/>
          <w:right w:w="28" w:type="dxa"/>
        </w:tblCellMar>
      </w:tblPr>
      <w:tblGrid>
        <w:gridCol w:w="792"/>
        <w:gridCol w:w="697"/>
        <w:gridCol w:w="700"/>
        <w:gridCol w:w="424"/>
        <w:gridCol w:w="424"/>
        <w:gridCol w:w="426"/>
        <w:gridCol w:w="109"/>
        <w:gridCol w:w="109"/>
        <w:gridCol w:w="109"/>
        <w:gridCol w:w="517"/>
        <w:gridCol w:w="517"/>
        <w:gridCol w:w="735"/>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20"/>
              </w:rPr>
            </w:pPr>
            <w:r>
              <w:rPr>
                <w:rFonts w:ascii="Times New Roman;serif" w:hAnsi="Times New Roman;serif"/>
                <w:b w:val="false"/>
                <w:color w:val="000000"/>
                <w:sz w:val="20"/>
              </w:rPr>
              <w:t>Quantity of bitcoin held</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color w:val="000000"/>
              </w:rPr>
            </w:pPr>
            <w:r>
              <w:rPr>
                <w:color w:val="000000"/>
              </w:rPr>
              <w:t>    </w:t>
            </w:r>
            <w:r>
              <w:rPr>
                <w:rFonts w:ascii="Times New Roman;serif" w:hAnsi="Times New Roman;serif"/>
                <w:b w:val="false"/>
                <w:color w:val="000000"/>
                <w:sz w:val="20"/>
              </w:rPr>
              <w:t>2,882    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color w:val="000000"/>
              </w:rPr>
            </w:pPr>
            <w:r>
              <w:rPr>
                <w:color w:val="000000"/>
              </w:rPr>
              <w:t>    </w:t>
            </w:r>
            <w:r>
              <w:rPr>
                <w:rFonts w:ascii="Times New Roman;serif" w:hAnsi="Times New Roman;serif"/>
                <w:b w:val="false"/>
                <w:color w:val="000000"/>
                <w:sz w:val="20"/>
              </w:rPr>
              <w:t>2,719    </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Cost basis of bitcoin held</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245,243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232,982    </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Fair value of bitcoin held</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168,680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237,947    </w:t>
            </w:r>
          </w:p>
        </w:tc>
      </w:tr>
    </w:tbl>
    <w:p>
      <w:pPr>
        <w:pStyle w:val="TextBody"/>
        <w:bidi w:val="0"/>
        <w:spacing w:before="0" w:after="240"/>
        <w:jc w:val="center"/>
        <w:rPr/>
      </w:pPr>
      <w:r>
        <w:rPr/>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240"/>
        <w:jc w:val="center"/>
        <w:rPr/>
      </w:pPr>
      <w:r>
        <w:rPr/>
      </w:r>
    </w:p>
    <w:p>
      <w:pPr>
        <w:pStyle w:val="TextBody"/>
        <w:bidi w:val="0"/>
        <w:spacing w:lineRule="auto" w:line="333" w:before="0" w:after="120"/>
        <w:ind w:left="0" w:right="0" w:hanging="1080"/>
        <w:jc w:val="left"/>
        <w:rPr/>
      </w:pPr>
      <w:r>
        <w:rPr>
          <w:rFonts w:ascii="Times New Roman;serif" w:hAnsi="Times New Roman;serif"/>
          <w:b/>
          <w:color w:val="000000"/>
          <w:sz w:val="20"/>
        </w:rPr>
        <w:t>NOTE 4.</w:t>
      </w:r>
      <w:r>
        <w:rPr>
          <w:color w:val="000000"/>
        </w:rPr>
        <w:t xml:space="preserve"> </w:t>
      </w:r>
      <w:r>
        <w:rPr>
          <w:rFonts w:ascii="Times New Roman;serif" w:hAnsi="Times New Roman;serif"/>
          <w:b/>
          <w:color w:val="000000"/>
          <w:sz w:val="20"/>
        </w:rPr>
        <w:t>FAIR VALUE    </w:t>
      </w:r>
    </w:p>
    <w:p>
      <w:pPr>
        <w:pStyle w:val="TextBody"/>
        <w:bidi w:val="0"/>
        <w:spacing w:lineRule="auto" w:line="333" w:before="120" w:after="120"/>
        <w:jc w:val="both"/>
        <w:rPr/>
      </w:pPr>
      <w:r>
        <w:rPr>
          <w:rFonts w:ascii="Times New Roman;serif" w:hAnsi="Times New Roman;serif"/>
          <w:b w:val="false"/>
          <w:color w:val="000000"/>
          <w:sz w:val="20"/>
        </w:rPr>
        <w:t>The following table presents the Company’s financial instruments that are measured and recorded at fair value on a recurring basis, and their level within the fair value hierarchy (</w:t>
      </w:r>
      <w:r>
        <w:rPr>
          <w:rFonts w:ascii="Times New Roman;serif" w:hAnsi="Times New Roman;serif"/>
          <w:b w:val="false"/>
          <w:i/>
          <w:color w:val="000000"/>
          <w:sz w:val="20"/>
        </w:rPr>
        <w:t>in thousands</w:t>
      </w:r>
      <w:r>
        <w:rPr>
          <w:rFonts w:ascii="Times New Roman;serif" w:hAnsi="Times New Roman;serif"/>
          <w:b w:val="false"/>
          <w:color w:val="000000"/>
          <w:sz w:val="20"/>
        </w:rPr>
        <w:t xml:space="preserve">): </w:t>
      </w:r>
    </w:p>
    <w:tbl>
      <w:tblPr>
        <w:tblW w:w="9797" w:type="dxa"/>
        <w:jc w:val="left"/>
        <w:tblInd w:w="0" w:type="dxa"/>
        <w:tblLayout w:type="fixed"/>
        <w:tblCellMar>
          <w:top w:w="28" w:type="dxa"/>
          <w:left w:w="28" w:type="dxa"/>
          <w:bottom w:w="28" w:type="dxa"/>
          <w:right w:w="28" w:type="dxa"/>
        </w:tblCellMar>
      </w:tblPr>
      <w:tblGrid>
        <w:gridCol w:w="1488"/>
        <w:gridCol w:w="1307"/>
        <w:gridCol w:w="1315"/>
        <w:gridCol w:w="454"/>
        <w:gridCol w:w="454"/>
        <w:gridCol w:w="456"/>
        <w:gridCol w:w="125"/>
        <w:gridCol w:w="125"/>
        <w:gridCol w:w="125"/>
        <w:gridCol w:w="413"/>
        <w:gridCol w:w="413"/>
        <w:gridCol w:w="420"/>
        <w:gridCol w:w="125"/>
        <w:gridCol w:w="125"/>
        <w:gridCol w:w="125"/>
        <w:gridCol w:w="254"/>
        <w:gridCol w:w="254"/>
        <w:gridCol w:w="258"/>
        <w:gridCol w:w="125"/>
        <w:gridCol w:w="125"/>
        <w:gridCol w:w="125"/>
        <w:gridCol w:w="345"/>
        <w:gridCol w:w="345"/>
        <w:gridCol w:w="496"/>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as of June 30, 2026</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33" w:after="283"/>
              <w:jc w:val="center"/>
              <w:rPr>
                <w:rFonts w:ascii="Times New Roman;serif" w:hAnsi="Times New Roman;serif"/>
                <w:b/>
                <w:color w:val="000000"/>
                <w:sz w:val="20"/>
              </w:rPr>
            </w:pPr>
            <w:r>
              <w:rPr>
                <w:rFonts w:ascii="Times New Roman;serif" w:hAnsi="Times New Roman;serif"/>
                <w:b/>
                <w:color w:val="000000"/>
                <w:sz w:val="20"/>
              </w:rPr>
              <w:t>Total carrying</w:t>
            </w:r>
          </w:p>
          <w:p>
            <w:pPr>
              <w:pStyle w:val="TableContents"/>
              <w:bidi w:val="0"/>
              <w:spacing w:lineRule="auto" w:line="240" w:before="0" w:after="30"/>
              <w:jc w:val="center"/>
              <w:rPr>
                <w:rFonts w:ascii="Times New Roman;serif" w:hAnsi="Times New Roman;serif"/>
                <w:b/>
                <w:color w:val="000000"/>
                <w:sz w:val="20"/>
              </w:rPr>
            </w:pPr>
            <w:r>
              <w:rPr>
                <w:rFonts w:ascii="Times New Roman;serif" w:hAnsi="Times New Roman;serif"/>
                <w:b/>
                <w:color w:val="000000"/>
                <w:sz w:val="20"/>
              </w:rPr>
              <w:t>value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33" w:after="30"/>
              <w:jc w:val="center"/>
              <w:rPr>
                <w:rFonts w:ascii="Times New Roman;serif" w:hAnsi="Times New Roman;serif"/>
                <w:b/>
                <w:color w:val="000000"/>
                <w:sz w:val="20"/>
              </w:rPr>
            </w:pPr>
            <w:r>
              <w:rPr>
                <w:rFonts w:ascii="Times New Roman;serif" w:hAnsi="Times New Roman;serif"/>
                <w:b/>
                <w:color w:val="000000"/>
                <w:sz w:val="20"/>
              </w:rPr>
              <w:t>Level 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33" w:after="30"/>
              <w:jc w:val="center"/>
              <w:rPr>
                <w:rFonts w:ascii="Times New Roman;serif" w:hAnsi="Times New Roman;serif"/>
                <w:b/>
                <w:color w:val="000000"/>
                <w:sz w:val="20"/>
              </w:rPr>
            </w:pPr>
            <w:r>
              <w:rPr>
                <w:rFonts w:ascii="Times New Roman;serif" w:hAnsi="Times New Roman;serif"/>
                <w:b/>
                <w:color w:val="000000"/>
                <w:sz w:val="20"/>
              </w:rPr>
              <w:t>Level 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33" w:after="30"/>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41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20"/>
              </w:rPr>
            </w:pPr>
            <w:r>
              <w:rPr>
                <w:rFonts w:ascii="Times New Roman;serif" w:hAnsi="Times New Roman;serif"/>
                <w:b w:val="false"/>
                <w:color w:val="000000"/>
                <w:sz w:val="20"/>
              </w:rPr>
              <w:t>Cash and cash equivalents – money market funds</w:t>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12,791    </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12,791    </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Cryptocurrency assets</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168,680    </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168,680    </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34,061    </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34,061    </w:t>
            </w:r>
          </w:p>
        </w:tc>
      </w:tr>
    </w:tbl>
    <w:p>
      <w:pPr>
        <w:pStyle w:val="TextBody"/>
        <w:bidi w:val="0"/>
        <w:spacing w:before="120" w:after="283"/>
        <w:jc w:val="both"/>
        <w:rPr/>
      </w:pPr>
      <w:r>
        <w:rPr/>
      </w:r>
    </w:p>
    <w:tbl>
      <w:tblPr>
        <w:tblW w:w="9566" w:type="dxa"/>
        <w:jc w:val="left"/>
        <w:tblInd w:w="0" w:type="dxa"/>
        <w:tblLayout w:type="fixed"/>
        <w:tblCellMar>
          <w:top w:w="28" w:type="dxa"/>
          <w:left w:w="28" w:type="dxa"/>
          <w:bottom w:w="28" w:type="dxa"/>
          <w:right w:w="28" w:type="dxa"/>
        </w:tblCellMar>
      </w:tblPr>
      <w:tblGrid>
        <w:gridCol w:w="1472"/>
        <w:gridCol w:w="1293"/>
        <w:gridCol w:w="1300"/>
        <w:gridCol w:w="454"/>
        <w:gridCol w:w="454"/>
        <w:gridCol w:w="456"/>
        <w:gridCol w:w="146"/>
        <w:gridCol w:w="146"/>
        <w:gridCol w:w="146"/>
        <w:gridCol w:w="413"/>
        <w:gridCol w:w="413"/>
        <w:gridCol w:w="420"/>
        <w:gridCol w:w="146"/>
        <w:gridCol w:w="146"/>
        <w:gridCol w:w="146"/>
        <w:gridCol w:w="254"/>
        <w:gridCol w:w="254"/>
        <w:gridCol w:w="258"/>
        <w:gridCol w:w="146"/>
        <w:gridCol w:w="146"/>
        <w:gridCol w:w="146"/>
        <w:gridCol w:w="236"/>
        <w:gridCol w:w="236"/>
        <w:gridCol w:w="339"/>
      </w:tblGrid>
      <w:tr>
        <w:trPr/>
        <w:tc>
          <w:tcPr>
            <w:tcW w:w="147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as of December 31, 2025</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33" w:after="283"/>
              <w:jc w:val="center"/>
              <w:rPr>
                <w:rFonts w:ascii="Times New Roman;serif" w:hAnsi="Times New Roman;serif"/>
                <w:b/>
                <w:color w:val="000000"/>
                <w:sz w:val="20"/>
              </w:rPr>
            </w:pPr>
            <w:r>
              <w:rPr>
                <w:rFonts w:ascii="Times New Roman;serif" w:hAnsi="Times New Roman;serif"/>
                <w:b/>
                <w:color w:val="000000"/>
                <w:sz w:val="20"/>
              </w:rPr>
              <w:t>Total carrying</w:t>
            </w:r>
          </w:p>
          <w:p>
            <w:pPr>
              <w:pStyle w:val="TableContents"/>
              <w:bidi w:val="0"/>
              <w:spacing w:lineRule="auto" w:line="240" w:before="0" w:after="30"/>
              <w:jc w:val="center"/>
              <w:rPr>
                <w:rFonts w:ascii="Times New Roman;serif" w:hAnsi="Times New Roman;serif"/>
                <w:b/>
                <w:color w:val="000000"/>
                <w:sz w:val="20"/>
              </w:rPr>
            </w:pPr>
            <w:r>
              <w:rPr>
                <w:rFonts w:ascii="Times New Roman;serif" w:hAnsi="Times New Roman;serif"/>
                <w:b/>
                <w:color w:val="000000"/>
                <w:sz w:val="20"/>
              </w:rPr>
              <w:t>value</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40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20"/>
              </w:rPr>
            </w:pPr>
            <w:r>
              <w:rPr>
                <w:rFonts w:ascii="Times New Roman;serif" w:hAnsi="Times New Roman;serif"/>
                <w:b w:val="false"/>
                <w:color w:val="000000"/>
                <w:sz w:val="20"/>
              </w:rPr>
              <w:t>Cash and cash equivalents - money market funds</w:t>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42,135    </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42,135    </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Cryptocurrency assets</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237,947    </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237,947    </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r>
    </w:tbl>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carrying amounts of financial assets and liabilities, such as cash and cash equivalents, accounts receivable, and accounts payable, approximate fair value due to the short-term nature of these instruments. There were no transfers in or out of levels during the six months ended June 30, 2026 and 2025.</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Gains and losses for such assets and liabilities categorized within the Level 3 table set forth may include changes in fair value that are attributable to both observable inputs (Levels 1 and 2) and unobservable inputs (Level 3).</w:t>
      </w:r>
    </w:p>
    <w:p>
      <w:pPr>
        <w:pStyle w:val="TextBody"/>
        <w:bidi w:val="0"/>
        <w:spacing w:lineRule="auto" w:line="333" w:before="120" w:after="283"/>
        <w:jc w:val="left"/>
        <w:rPr/>
      </w:pPr>
      <w:r>
        <w:rPr>
          <w:rFonts w:ascii="Times New Roman;serif" w:hAnsi="Times New Roman;serif"/>
          <w:b w:val="false"/>
          <w:color w:val="000000"/>
          <w:sz w:val="20"/>
        </w:rPr>
        <w:t xml:space="preserve">Changes in the estimated fair value of Level 3 financial assets and liabilities that are measured on a recurring basis are as follows </w:t>
      </w:r>
      <w:r>
        <w:rPr>
          <w:rFonts w:ascii="Times New Roman;serif" w:hAnsi="Times New Roman;serif"/>
          <w:b w:val="false"/>
          <w:i/>
          <w:color w:val="000000"/>
          <w:sz w:val="20"/>
        </w:rPr>
        <w:t>(in thousands)</w:t>
      </w:r>
      <w:r>
        <w:rPr>
          <w:rFonts w:ascii="Times New Roman;serif" w:hAnsi="Times New Roman;serif"/>
          <w:b w:val="false"/>
          <w:color w:val="000000"/>
          <w:sz w:val="20"/>
        </w:rPr>
        <w:t xml:space="preserve">: </w:t>
      </w:r>
    </w:p>
    <w:tbl>
      <w:tblPr>
        <w:tblW w:w="3811" w:type="dxa"/>
        <w:jc w:val="left"/>
        <w:tblInd w:w="0" w:type="dxa"/>
        <w:tblLayout w:type="fixed"/>
        <w:tblCellMar>
          <w:top w:w="28" w:type="dxa"/>
          <w:left w:w="28" w:type="dxa"/>
          <w:bottom w:w="28" w:type="dxa"/>
          <w:right w:w="28" w:type="dxa"/>
        </w:tblCellMar>
      </w:tblPr>
      <w:tblGrid>
        <w:gridCol w:w="965"/>
        <w:gridCol w:w="851"/>
        <w:gridCol w:w="854"/>
        <w:gridCol w:w="333"/>
        <w:gridCol w:w="333"/>
        <w:gridCol w:w="475"/>
      </w:tblGrid>
      <w:tr>
        <w:trPr/>
        <w:tc>
          <w:tcPr>
            <w:tcW w:w="96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color w:val="000000"/>
                <w:sz w:val="20"/>
              </w:rPr>
            </w:pPr>
            <w:r>
              <w:rPr>
                <w:rFonts w:ascii="Times New Roman;serif" w:hAnsi="Times New Roman;serif"/>
                <w:b/>
                <w:color w:val="000000"/>
                <w:sz w:val="20"/>
              </w:rPr>
              <w:t>Warrants</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color w:val="000000"/>
                <w:sz w:val="20"/>
              </w:rPr>
            </w:pPr>
            <w:r>
              <w:rPr>
                <w:rFonts w:ascii="Times New Roman;serif" w:hAnsi="Times New Roman;serif"/>
                <w:b/>
                <w:color w:val="000000"/>
                <w:sz w:val="20"/>
              </w:rPr>
              <w:t>Balance as of January 1, 2026</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34,061    </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11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33" w:before="33" w:after="30"/>
              <w:jc w:val="right"/>
              <w:rPr>
                <w:color w:val="000000"/>
              </w:rPr>
            </w:pPr>
            <w:r>
              <w:rPr>
                <w:color w:val="000000"/>
              </w:rPr>
              <w:t>    </w:t>
            </w:r>
            <w:r>
              <w:rPr>
                <w:rFonts w:ascii="Times New Roman;serif" w:hAnsi="Times New Roman;serif"/>
                <w:b/>
                <w:color w:val="000000"/>
                <w:sz w:val="20"/>
              </w:rPr>
              <w:t>34,061    </w:t>
            </w:r>
          </w:p>
        </w:tc>
      </w:tr>
    </w:tbl>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valued the Warrants (as defined below) at issuance using a Black-Scholes model based on the following assumptions: expected volatility of 35.0%, dividend yield of 0.0%, risk-free interest rate of 4.19%, a stock price of $48.49 per share, and an expect term of 5.0 years. For further information on the Warrants refer to Note 13 – Stockholders' Equity.</w:t>
      </w:r>
    </w:p>
    <w:p>
      <w:pPr>
        <w:pStyle w:val="TextBody"/>
        <w:bidi w:val="0"/>
        <w:spacing w:lineRule="auto" w:line="333" w:before="120" w:after="120"/>
        <w:jc w:val="both"/>
        <w:rPr>
          <w:rFonts w:ascii="Times New Roman;serif" w:hAnsi="Times New Roman;serif"/>
          <w:b w:val="false"/>
          <w:i/>
          <w:color w:val="000000"/>
          <w:sz w:val="20"/>
        </w:rPr>
      </w:pPr>
      <w:r>
        <w:rPr>
          <w:rFonts w:ascii="Times New Roman;serif" w:hAnsi="Times New Roman;serif"/>
          <w:b w:val="false"/>
          <w:i/>
          <w:color w:val="000000"/>
          <w:sz w:val="20"/>
        </w:rPr>
        <w:t>Assets and liabilities measured and recorded at fair value on a non-recurring basis</w:t>
      </w:r>
    </w:p>
    <w:p>
      <w:pPr>
        <w:pStyle w:val="TextBody"/>
        <w:bidi w:val="0"/>
        <w:spacing w:lineRule="auto" w:line="333" w:before="120" w:after="120"/>
        <w:jc w:val="both"/>
        <w:rPr/>
      </w:pPr>
      <w:r>
        <w:rPr>
          <w:rFonts w:ascii="Times New Roman;serif" w:hAnsi="Times New Roman;serif"/>
          <w:b w:val="false"/>
          <w:color w:val="000000"/>
          <w:sz w:val="20"/>
        </w:rPr>
        <w:t xml:space="preserve">The Company’s non-financial assets, such as goodwill, intangible assets, and property and equipment, are adjusted to fair value when an impairment charge is recognized. In measuring impairment of long-lived assets in accordance with the provisions of ASC 360, </w:t>
      </w:r>
      <w:r>
        <w:rPr>
          <w:rFonts w:ascii="Times New Roman;serif" w:hAnsi="Times New Roman;serif"/>
          <w:b w:val="false"/>
          <w:i/>
          <w:color w:val="000000"/>
          <w:sz w:val="20"/>
        </w:rPr>
        <w:t>Property, Plant, and Equipment</w:t>
      </w:r>
      <w:r>
        <w:rPr>
          <w:rFonts w:ascii="Times New Roman;serif" w:hAnsi="Times New Roman;serif"/>
          <w:b w:val="false"/>
          <w:color w:val="000000"/>
          <w:sz w:val="20"/>
        </w:rPr>
        <w:t>, the Company estimates the fair value of long-lived assets on a non-recurring basis using Level 2 inputs for similar assets in active markets, including market data regarding the value of our ASIC miners, a limited ability to repurpose certain buildings and related materials, and the marketability (or lack thereof) of certain machinery and facilities equipment considering the condition and customized nature of the assets in accordance with the provisions of ASC 820.</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In determining the fair value of the assets and liabilities acquired in the Business Combination and in evaluating the fair value of its reporting unit or units when testing goodwill for impairment, the Company considers a combination of the income and market valuation approaches. The income valuation approach uses unobservable inputs including projections of internal cash flows, future bitcoin prices, and the future global hashrate, as well as derived discount and long-term growth rates. The market valuation approach utilizes observable inputs for similar assets and liabilities to estimate valuation multiples. Refer to Note 10 – Goodwill for further information.</w:t>
      </w:r>
    </w:p>
    <w:tbl>
      <w:tblPr>
        <w:tblW w:w="9058" w:type="dxa"/>
        <w:jc w:val="left"/>
        <w:tblInd w:w="0" w:type="dxa"/>
        <w:tblLayout w:type="fixed"/>
        <w:tblCellMar>
          <w:top w:w="28" w:type="dxa"/>
          <w:left w:w="28" w:type="dxa"/>
          <w:bottom w:w="28" w:type="dxa"/>
          <w:right w:w="28" w:type="dxa"/>
        </w:tblCellMar>
      </w:tblPr>
      <w:tblGrid>
        <w:gridCol w:w="698"/>
        <w:gridCol w:w="614"/>
        <w:gridCol w:w="615"/>
        <w:gridCol w:w="122"/>
        <w:gridCol w:w="122"/>
        <w:gridCol w:w="122"/>
        <w:gridCol w:w="703"/>
        <w:gridCol w:w="703"/>
        <w:gridCol w:w="705"/>
        <w:gridCol w:w="164"/>
        <w:gridCol w:w="164"/>
        <w:gridCol w:w="164"/>
        <w:gridCol w:w="286"/>
        <w:gridCol w:w="286"/>
        <w:gridCol w:w="290"/>
        <w:gridCol w:w="164"/>
        <w:gridCol w:w="164"/>
        <w:gridCol w:w="164"/>
        <w:gridCol w:w="286"/>
        <w:gridCol w:w="286"/>
        <w:gridCol w:w="290"/>
        <w:gridCol w:w="164"/>
        <w:gridCol w:w="164"/>
        <w:gridCol w:w="164"/>
        <w:gridCol w:w="422"/>
        <w:gridCol w:w="422"/>
        <w:gridCol w:w="610"/>
      </w:tblGrid>
      <w:tr>
        <w:trPr/>
        <w:tc>
          <w:tcPr>
            <w:tcW w:w="69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5" w:type="dxa"/>
            <w:gridSpan w:val="21"/>
            <w:tcBorders/>
            <w:tcMar>
              <w:top w:w="0" w:type="dxa"/>
              <w:left w:w="0" w:type="dxa"/>
              <w:bottom w:w="0" w:type="dxa"/>
              <w:right w:w="0" w:type="dxa"/>
            </w:tcMar>
            <w:vAlign w:val="center"/>
          </w:tcPr>
          <w:p>
            <w:pPr>
              <w:pStyle w:val="TableContents"/>
              <w:bidi w:val="0"/>
              <w:spacing w:lineRule="auto" w:line="312" w:before="53" w:after="30"/>
              <w:jc w:val="center"/>
              <w:rPr>
                <w:rFonts w:ascii="Times New Roman;serif" w:hAnsi="Times New Roman;serif"/>
                <w:b/>
                <w:color w:val="000000"/>
                <w:sz w:val="20"/>
              </w:rPr>
            </w:pPr>
            <w:r>
              <w:rPr>
                <w:rFonts w:ascii="Times New Roman;serif" w:hAnsi="Times New Roman;serif"/>
                <w:b/>
                <w:color w:val="000000"/>
                <w:sz w:val="20"/>
              </w:rPr>
              <w:t>Fair value as of December 31, 2025</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Total carrying value</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Level 1</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Level 2</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312" w:before="33" w:after="30"/>
              <w:jc w:val="left"/>
              <w:rPr/>
            </w:pPr>
            <w:r>
              <w:rPr>
                <w:rFonts w:ascii="Times New Roman;serif" w:hAnsi="Times New Roman;serif"/>
                <w:b w:val="false"/>
                <w:color w:val="000000"/>
                <w:sz w:val="20"/>
              </w:rPr>
              <w:t>Long-lived assets</w:t>
            </w:r>
            <w:r>
              <w:rPr>
                <w:rFonts w:ascii="Times New Roman;serif" w:hAnsi="Times New Roman;serif"/>
                <w:b w:val="false"/>
                <w:color w:val="000000"/>
                <w:sz w:val="13"/>
              </w:rPr>
              <w:t>(1)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76,585    </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76,585    </w:t>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right"/>
              <w:rPr>
                <w:rFonts w:ascii="Times New Roman;serif" w:hAnsi="Times New Roman;serif"/>
                <w:b w:val="false"/>
                <w:color w:val="000000"/>
                <w:sz w:val="20"/>
              </w:rPr>
            </w:pPr>
            <w:r>
              <w:rPr>
                <w:rFonts w:ascii="Times New Roman;serif" w:hAnsi="Times New Roman;serif"/>
                <w:b w:val="false"/>
                <w:color w:val="000000"/>
                <w:sz w:val="20"/>
              </w:rPr>
              <w:t>$    161,608    </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right"/>
              <w:rPr>
                <w:rFonts w:ascii="Times New Roman;serif" w:hAnsi="Times New Roman;serif"/>
                <w:b w:val="false"/>
                <w:color w:val="000000"/>
                <w:sz w:val="20"/>
              </w:rPr>
            </w:pPr>
            <w:r>
              <w:rPr>
                <w:rFonts w:ascii="Times New Roman;serif" w:hAnsi="Times New Roman;serif"/>
                <w:b w:val="false"/>
                <w:color w:val="000000"/>
                <w:sz w:val="20"/>
              </w:rPr>
              <w:t>$    161,608    </w:t>
            </w:r>
          </w:p>
        </w:tc>
      </w:tr>
      <w:tr>
        <w:trPr/>
        <w:tc>
          <w:tcPr>
            <w:tcW w:w="9058" w:type="dxa"/>
            <w:gridSpan w:val="27"/>
            <w:tcBorders/>
            <w:tcMar>
              <w:top w:w="0" w:type="dxa"/>
              <w:left w:w="0" w:type="dxa"/>
              <w:bottom w:w="0" w:type="dxa"/>
              <w:right w:w="0" w:type="dxa"/>
            </w:tcMar>
            <w:vAlign w:val="center"/>
          </w:tcPr>
          <w:p>
            <w:pPr>
              <w:pStyle w:val="TableContents"/>
              <w:bidi w:val="0"/>
              <w:spacing w:lineRule="auto" w:line="312" w:before="53" w:after="30"/>
              <w:jc w:val="left"/>
              <w:rPr/>
            </w:pPr>
            <w:r>
              <w:rPr>
                <w:rFonts w:ascii="Times New Roman;serif" w:hAnsi="Times New Roman;serif"/>
                <w:b w:val="false"/>
                <w:color w:val="000000"/>
                <w:sz w:val="13"/>
              </w:rPr>
              <w:t xml:space="preserve">(1) </w:t>
            </w:r>
            <w:r>
              <w:rPr>
                <w:rFonts w:ascii="Times New Roman;serif" w:hAnsi="Times New Roman;serif"/>
                <w:b w:val="false"/>
                <w:color w:val="000000"/>
                <w:sz w:val="16"/>
              </w:rPr>
              <w:t>Long-lived assets include $76.2 million of property and equipment and $0.4 million of ROU assets as of December 31, 2025.</w:t>
            </w:r>
          </w:p>
        </w:tc>
      </w:tr>
    </w:tbl>
    <w:p>
      <w:pPr>
        <w:pStyle w:val="TextBody"/>
        <w:bidi w:val="0"/>
        <w:spacing w:before="120" w:after="120"/>
        <w:jc w:val="both"/>
        <w:rPr/>
      </w:pPr>
      <w:r>
        <w:rPr/>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20"/>
        <w:jc w:val="both"/>
        <w:rPr/>
      </w:pPr>
      <w:r>
        <w:rPr/>
      </w:r>
    </w:p>
    <w:p>
      <w:pPr>
        <w:pStyle w:val="TextBody"/>
        <w:bidi w:val="0"/>
        <w:spacing w:lineRule="auto" w:line="333" w:before="0" w:after="120"/>
        <w:ind w:left="0" w:right="0" w:hanging="1080"/>
        <w:jc w:val="left"/>
        <w:rPr>
          <w:rFonts w:ascii="Times New Roman;serif" w:hAnsi="Times New Roman;serif"/>
          <w:b/>
          <w:color w:val="000000"/>
          <w:sz w:val="20"/>
        </w:rPr>
      </w:pPr>
      <w:r>
        <w:rPr>
          <w:rFonts w:ascii="Times New Roman;serif" w:hAnsi="Times New Roman;serif"/>
          <w:b/>
          <w:color w:val="000000"/>
          <w:sz w:val="20"/>
        </w:rPr>
        <w:t>NOTE 5. PROPERTY AND EQUIPMENT, NET</w:t>
      </w:r>
    </w:p>
    <w:p>
      <w:pPr>
        <w:pStyle w:val="TextBody"/>
        <w:bidi w:val="0"/>
        <w:spacing w:lineRule="auto" w:line="333" w:before="120" w:after="120"/>
        <w:jc w:val="both"/>
        <w:rPr/>
      </w:pPr>
      <w:r>
        <w:rPr>
          <w:rFonts w:ascii="Times New Roman;serif" w:hAnsi="Times New Roman;serif"/>
          <w:b w:val="false"/>
          <w:color w:val="000000"/>
          <w:sz w:val="20"/>
        </w:rPr>
        <w:t>Property and equipment consisted of the following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8035" w:type="dxa"/>
        <w:jc w:val="left"/>
        <w:tblInd w:w="0" w:type="dxa"/>
        <w:tblLayout w:type="fixed"/>
        <w:tblCellMar>
          <w:top w:w="28" w:type="dxa"/>
          <w:left w:w="28" w:type="dxa"/>
          <w:bottom w:w="28" w:type="dxa"/>
          <w:right w:w="28" w:type="dxa"/>
        </w:tblCellMar>
      </w:tblPr>
      <w:tblGrid>
        <w:gridCol w:w="1691"/>
        <w:gridCol w:w="1481"/>
        <w:gridCol w:w="1493"/>
        <w:gridCol w:w="424"/>
        <w:gridCol w:w="424"/>
        <w:gridCol w:w="426"/>
        <w:gridCol w:w="109"/>
        <w:gridCol w:w="109"/>
        <w:gridCol w:w="109"/>
        <w:gridCol w:w="517"/>
        <w:gridCol w:w="517"/>
        <w:gridCol w:w="735"/>
      </w:tblGrid>
      <w:tr>
        <w:trPr/>
        <w:tc>
          <w:tcPr>
            <w:tcW w:w="1691"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274"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20"/>
              </w:rPr>
            </w:pPr>
            <w:r>
              <w:rPr>
                <w:rFonts w:ascii="Times New Roman;serif" w:hAnsi="Times New Roman;serif"/>
                <w:b w:val="false"/>
                <w:color w:val="000000"/>
                <w:sz w:val="20"/>
              </w:rPr>
              <w:t>Mining equipment</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24,530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79,264</w:t>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Machinery and facilities equipment</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44,390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55,679</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20</w:t>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Construction-in-progress</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9,156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2,513</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Building</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32,937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33,992</w:t>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1,620</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Land Improvement</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383</w:t>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333" w:before="43" w:after="30"/>
              <w:jc w:val="left"/>
              <w:rPr>
                <w:rFonts w:ascii="Times New Roman;serif" w:hAnsi="Times New Roman;serif"/>
                <w:b w:val="false"/>
                <w:color w:val="000000"/>
                <w:sz w:val="20"/>
              </w:rPr>
            </w:pPr>
            <w:r>
              <w:rPr>
                <w:rFonts w:ascii="Times New Roman;serif" w:hAnsi="Times New Roman;serif"/>
                <w:b w:val="false"/>
                <w:color w:val="000000"/>
                <w:sz w:val="20"/>
              </w:rPr>
              <w:t>Total cost of property and equipment, net of impairment</w:t>
            </w:r>
          </w:p>
        </w:tc>
        <w:tc>
          <w:tcPr>
            <w:tcW w:w="127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33" w:before="43" w:after="30"/>
              <w:jc w:val="right"/>
              <w:rPr>
                <w:rFonts w:ascii="Times New Roman;serif" w:hAnsi="Times New Roman;serif"/>
                <w:b w:val="false"/>
                <w:color w:val="000000"/>
                <w:sz w:val="20"/>
              </w:rPr>
            </w:pPr>
            <w:r>
              <w:rPr>
                <w:rFonts w:ascii="Times New Roman;serif" w:hAnsi="Times New Roman;serif"/>
                <w:b w:val="false"/>
                <w:color w:val="000000"/>
                <w:sz w:val="20"/>
              </w:rPr>
              <w:t>$    113,036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76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33" w:before="43" w:after="30"/>
              <w:jc w:val="right"/>
              <w:rPr>
                <w:rFonts w:ascii="Times New Roman;serif" w:hAnsi="Times New Roman;serif"/>
                <w:b w:val="false"/>
                <w:color w:val="000000"/>
                <w:sz w:val="20"/>
              </w:rPr>
            </w:pPr>
            <w:r>
              <w:rPr>
                <w:rFonts w:ascii="Times New Roman;serif" w:hAnsi="Times New Roman;serif"/>
                <w:b w:val="false"/>
                <w:color w:val="000000"/>
                <w:sz w:val="20"/>
              </w:rPr>
              <w:t>$    173,471</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color w:val="000000"/>
              </w:rPr>
            </w:pPr>
            <w:r>
              <w:rPr>
                <w:color w:val="000000"/>
              </w:rPr>
              <w:t> </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(47,395)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(97,315)</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color w:val="000000"/>
              </w:rPr>
            </w:pPr>
            <w:r>
              <w:rPr>
                <w:color w:val="000000"/>
              </w:rPr>
              <w:t> </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 net</w:t>
            </w:r>
          </w:p>
        </w:tc>
        <w:tc>
          <w:tcPr>
            <w:tcW w:w="127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65,641</w:t>
            </w:r>
          </w:p>
        </w:tc>
        <w:tc>
          <w:tcPr>
            <w:tcW w:w="327" w:type="dxa"/>
            <w:gridSpan w:val="3"/>
            <w:tcBorders/>
            <w:shd w:fill="FFFFFF" w:val="clear"/>
            <w:tcMar>
              <w:top w:w="0" w:type="dxa"/>
              <w:left w:w="0" w:type="dxa"/>
              <w:bottom w:w="0" w:type="dxa"/>
              <w:right w:w="0" w:type="dxa"/>
            </w:tcMar>
            <w:vAlign w:val="center"/>
          </w:tcPr>
          <w:p>
            <w:pPr>
              <w:pStyle w:val="TableContents"/>
              <w:bidi w:val="0"/>
              <w:spacing w:before="33" w:after="30"/>
              <w:jc w:val="left"/>
              <w:rPr/>
            </w:pPr>
            <w:r>
              <w:rPr/>
            </w:r>
          </w:p>
        </w:tc>
        <w:tc>
          <w:tcPr>
            <w:tcW w:w="17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76,156</w:t>
            </w:r>
          </w:p>
        </w:tc>
      </w:tr>
    </w:tbl>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Depreciation of property and equipment during the three and six months ended June 30, 2026, was $4.9 million and $10.5 million, respectively, and for the three and six months ended June 30, 2025, was $16.9 million and $33.4 million, respectively.</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Due to sustained decreases in the price of bitcoin during the six months ended June 30, 2026, the Company performed an impairment review on its mining equipment as of June 30, 2026. As a result of the impairment testing the Company determined that no impairment was needed for the three and six months ended June 30, 2026.</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20"/>
        <w:jc w:val="both"/>
        <w:rPr/>
      </w:pPr>
      <w:r>
        <w:rPr/>
      </w:r>
    </w:p>
    <w:p>
      <w:pPr>
        <w:pStyle w:val="TextBody"/>
        <w:bidi w:val="0"/>
        <w:spacing w:lineRule="auto" w:line="333" w:before="0" w:after="240"/>
        <w:ind w:left="0" w:right="0" w:hanging="1080"/>
        <w:jc w:val="left"/>
        <w:rPr>
          <w:rFonts w:ascii="Times New Roman;serif" w:hAnsi="Times New Roman;serif"/>
          <w:b/>
          <w:color w:val="000000"/>
          <w:sz w:val="20"/>
        </w:rPr>
      </w:pPr>
      <w:r>
        <w:rPr>
          <w:rFonts w:ascii="Times New Roman;serif" w:hAnsi="Times New Roman;serif"/>
          <w:b/>
          <w:color w:val="000000"/>
          <w:sz w:val="20"/>
        </w:rPr>
        <w:t>NOTE 6. ASSETS HELD FOR SALE</w:t>
      </w:r>
    </w:p>
    <w:p>
      <w:pPr>
        <w:pStyle w:val="TextBody"/>
        <w:bidi w:val="0"/>
        <w:spacing w:lineRule="auto" w:line="312"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determined it will not have the capacity at its owned and leased sites to relocate and operate all of the miners it previously operated at its Ward County and hosted facilities. As such, the Company reviewed its population of mining equipment to determine which units would be decommissioned and disposed. In addition, the conversion of the Ward County facility to accommodate the leasing arrangement necessitated the sale of certain building materials and machinery and facilities equipment previously in service at that location. As of February 19, 2026, the Company approved a formal plan of sale and is pursuing liquidation of various property and equipment that is not expected to be placed back into service. Gains and losses on the sale of assets classified as held for sale are recorded in (Gain) loss on sale of property and equipment in the condensed consolidated statements of operations. </w:t>
      </w:r>
    </w:p>
    <w:p>
      <w:pPr>
        <w:pStyle w:val="TextBody"/>
        <w:bidi w:val="0"/>
        <w:spacing w:lineRule="auto" w:line="333" w:before="120" w:after="120"/>
        <w:jc w:val="left"/>
        <w:rPr/>
      </w:pPr>
      <w:r>
        <w:rPr>
          <w:rFonts w:ascii="Times New Roman;serif" w:hAnsi="Times New Roman;serif"/>
          <w:b w:val="false"/>
          <w:color w:val="000000"/>
          <w:sz w:val="20"/>
        </w:rPr>
        <w:t>Assets held for sale consisted of the following (</w:t>
      </w:r>
      <w:r>
        <w:rPr>
          <w:rFonts w:ascii="Times New Roman;serif" w:hAnsi="Times New Roman;serif"/>
          <w:b w:val="false"/>
          <w:i/>
          <w:color w:val="000000"/>
          <w:sz w:val="20"/>
        </w:rPr>
        <w:t>in thousands</w:t>
      </w:r>
      <w:r>
        <w:rPr>
          <w:rFonts w:ascii="Times New Roman;serif" w:hAnsi="Times New Roman;serif"/>
          <w:b w:val="false"/>
          <w:color w:val="000000"/>
          <w:sz w:val="20"/>
        </w:rPr>
        <w:t>):</w:t>
      </w:r>
    </w:p>
    <w:p>
      <w:pPr>
        <w:pStyle w:val="TextBody"/>
        <w:bidi w:val="0"/>
        <w:spacing w:before="120" w:after="120"/>
        <w:jc w:val="left"/>
        <w:rPr/>
      </w:pPr>
      <w:r>
        <w:rPr/>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289"/>
        <w:gridCol w:w="1120"/>
        <w:gridCol w:w="1128"/>
        <w:gridCol w:w="329"/>
        <w:gridCol w:w="329"/>
        <w:gridCol w:w="333"/>
        <w:gridCol w:w="109"/>
        <w:gridCol w:w="109"/>
        <w:gridCol w:w="109"/>
        <w:gridCol w:w="280"/>
        <w:gridCol w:w="280"/>
        <w:gridCol w:w="281"/>
        <w:gridCol w:w="109"/>
        <w:gridCol w:w="109"/>
        <w:gridCol w:w="109"/>
        <w:gridCol w:w="938"/>
        <w:gridCol w:w="938"/>
        <w:gridCol w:w="941"/>
        <w:gridCol w:w="109"/>
        <w:gridCol w:w="109"/>
        <w:gridCol w:w="109"/>
        <w:gridCol w:w="302"/>
        <w:gridCol w:w="302"/>
        <w:gridCol w:w="434"/>
      </w:tblGrid>
      <w:tr>
        <w:trPr/>
        <w:tc>
          <w:tcPr>
            <w:tcW w:w="1289"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3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center"/>
              <w:rPr>
                <w:rFonts w:ascii="Times New Roman;serif" w:hAnsi="Times New Roman;serif"/>
                <w:b/>
                <w:color w:val="000000"/>
                <w:sz w:val="20"/>
              </w:rPr>
            </w:pPr>
            <w:r>
              <w:rPr>
                <w:rFonts w:ascii="Times New Roman;serif" w:hAnsi="Times New Roman;serif"/>
                <w:b/>
                <w:color w:val="000000"/>
                <w:sz w:val="20"/>
              </w:rPr>
              <w:t>Miners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center"/>
              <w:rPr>
                <w:rFonts w:ascii="Times New Roman;serif" w:hAnsi="Times New Roman;serif"/>
                <w:b/>
                <w:color w:val="000000"/>
                <w:sz w:val="20"/>
              </w:rPr>
            </w:pPr>
            <w:r>
              <w:rPr>
                <w:rFonts w:ascii="Times New Roman;serif" w:hAnsi="Times New Roman;serif"/>
                <w:b/>
                <w:color w:val="000000"/>
                <w:sz w:val="20"/>
              </w:rPr>
              <w:t>Building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Machinery and Facility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537" w:type="dxa"/>
            <w:gridSpan w:val="3"/>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8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53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 xml:space="preserve">Transfer from Property and equipment, net </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1,761    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316    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2,901    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4,978    </w:t>
            </w:r>
          </w:p>
        </w:tc>
      </w:tr>
      <w:tr>
        <w:trPr/>
        <w:tc>
          <w:tcPr>
            <w:tcW w:w="353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Sold during the period</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81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(2,791)</w:t>
            </w:r>
          </w:p>
        </w:tc>
      </w:tr>
      <w:tr>
        <w:trPr/>
        <w:tc>
          <w:tcPr>
            <w:tcW w:w="3537" w:type="dxa"/>
            <w:gridSpan w:val="3"/>
            <w:tcBorders/>
            <w:shd w:fill="FFFF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20"/>
              </w:rPr>
            </w:pPr>
            <w:r>
              <w:rPr>
                <w:rFonts w:ascii="Times New Roman;serif" w:hAnsi="Times New Roman;serif"/>
                <w:b w:val="false"/>
                <w:color w:val="000000"/>
                <w:sz w:val="20"/>
              </w:rPr>
              <w:t>Assets held for sale as of June 30, 2026</w:t>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8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1,539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2,187</w:t>
            </w:r>
          </w:p>
        </w:tc>
      </w:tr>
      <w:tr>
        <w:trPr/>
        <w:tc>
          <w:tcPr>
            <w:tcW w:w="353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8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353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Gain on sale of assets classified as held for sale</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228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81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507</w:t>
            </w:r>
          </w:p>
        </w:tc>
      </w:tr>
    </w:tbl>
    <w:p>
      <w:pPr>
        <w:pStyle w:val="TextBody"/>
        <w:bidi w:val="0"/>
        <w:spacing w:before="0" w:after="240"/>
        <w:jc w:val="center"/>
        <w:rPr/>
      </w:pPr>
      <w:r>
        <w:rPr/>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240"/>
        <w:jc w:val="center"/>
        <w:rPr/>
      </w:pPr>
      <w:r>
        <w:rPr/>
      </w:r>
    </w:p>
    <w:p>
      <w:pPr>
        <w:pStyle w:val="TextBody"/>
        <w:bidi w:val="0"/>
        <w:spacing w:lineRule="auto" w:line="333" w:before="0" w:after="120"/>
        <w:ind w:left="0" w:right="0" w:hanging="1080"/>
        <w:jc w:val="both"/>
        <w:rPr>
          <w:rFonts w:ascii="Times New Roman;serif" w:hAnsi="Times New Roman;serif"/>
          <w:b/>
          <w:color w:val="000000"/>
          <w:sz w:val="20"/>
        </w:rPr>
      </w:pPr>
      <w:r>
        <w:rPr>
          <w:rFonts w:ascii="Times New Roman;serif" w:hAnsi="Times New Roman;serif"/>
          <w:b/>
          <w:color w:val="000000"/>
          <w:sz w:val="20"/>
        </w:rPr>
        <w:t>NOTE 7. OTHER RECEIVABLES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contracted with data center operators for hosting its mining equipment and for operational support. These arrangements required advance payments to the operators pursuant to the contractual obligations associated with these services. At the time the contract terminates, any remaining balances are due to the Company, and such amounts are recorded as Other receivables, either current or non-current, in the Condensed Consolidated Balance Sheets, depending upon the term of the contract over which the deposits are expected to be recovered.</w:t>
      </w:r>
    </w:p>
    <w:p>
      <w:pPr>
        <w:pStyle w:val="TextBody"/>
        <w:bidi w:val="0"/>
        <w:spacing w:lineRule="auto" w:line="333" w:before="120" w:after="120"/>
        <w:jc w:val="left"/>
        <w:rPr/>
      </w:pPr>
      <w:r>
        <w:rPr>
          <w:rFonts w:ascii="Times New Roman;serif" w:hAnsi="Times New Roman;serif"/>
          <w:b w:val="false"/>
          <w:color w:val="000000"/>
          <w:sz w:val="20"/>
        </w:rPr>
        <w:t>Other receivables, current and non-current, consisted of the following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6749" w:type="dxa"/>
        <w:jc w:val="left"/>
        <w:tblInd w:w="0" w:type="dxa"/>
        <w:tblLayout w:type="fixed"/>
        <w:tblCellMar>
          <w:top w:w="28" w:type="dxa"/>
          <w:left w:w="28" w:type="dxa"/>
          <w:bottom w:w="28" w:type="dxa"/>
          <w:right w:w="28" w:type="dxa"/>
        </w:tblCellMar>
      </w:tblPr>
      <w:tblGrid>
        <w:gridCol w:w="1223"/>
        <w:gridCol w:w="1073"/>
        <w:gridCol w:w="1083"/>
        <w:gridCol w:w="424"/>
        <w:gridCol w:w="424"/>
        <w:gridCol w:w="426"/>
        <w:gridCol w:w="109"/>
        <w:gridCol w:w="109"/>
        <w:gridCol w:w="109"/>
        <w:gridCol w:w="517"/>
        <w:gridCol w:w="517"/>
        <w:gridCol w:w="735"/>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Receivable from former hosting partners</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15,328    </w:t>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Unbilled lease revenue receivable</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47,827    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1,167    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245    </w:t>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(5,113)</w:t>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333" w:before="33" w:after="30"/>
              <w:ind w:left="0" w:right="0" w:firstLine="200"/>
              <w:jc w:val="left"/>
              <w:rPr>
                <w:rFonts w:ascii="Times New Roman;serif" w:hAnsi="Times New Roman;serif"/>
                <w:b/>
                <w:color w:val="000000"/>
                <w:sz w:val="20"/>
              </w:rPr>
            </w:pPr>
            <w:r>
              <w:rPr>
                <w:rFonts w:ascii="Times New Roman;serif" w:hAnsi="Times New Roman;serif"/>
                <w:b/>
                <w:color w:val="000000"/>
                <w:sz w:val="20"/>
              </w:rPr>
              <w:t>Total other receivables, current</w:t>
            </w:r>
          </w:p>
        </w:tc>
        <w:tc>
          <w:tcPr>
            <w:tcW w:w="12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48,994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10,460    </w:t>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Receivable from former hosting partners</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3,696    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3,696    </w:t>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(3,326)</w:t>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333" w:before="33" w:after="30"/>
              <w:ind w:left="0" w:right="0" w:firstLine="200"/>
              <w:jc w:val="left"/>
              <w:rPr>
                <w:rFonts w:ascii="Times New Roman;serif" w:hAnsi="Times New Roman;serif"/>
                <w:b/>
                <w:color w:val="000000"/>
                <w:sz w:val="20"/>
              </w:rPr>
            </w:pPr>
            <w:r>
              <w:rPr>
                <w:rFonts w:ascii="Times New Roman;serif" w:hAnsi="Times New Roman;serif"/>
                <w:b/>
                <w:color w:val="000000"/>
                <w:sz w:val="20"/>
              </w:rPr>
              <w:t>Total other receivables, non-current</w:t>
            </w:r>
          </w:p>
        </w:tc>
        <w:tc>
          <w:tcPr>
            <w:tcW w:w="127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370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7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370    </w:t>
            </w:r>
          </w:p>
        </w:tc>
      </w:tr>
    </w:tbl>
    <w:p>
      <w:pPr>
        <w:pStyle w:val="TextBody"/>
        <w:bidi w:val="0"/>
        <w:spacing w:lineRule="auto" w:line="333" w:before="240" w:after="120"/>
        <w:jc w:val="both"/>
        <w:rPr>
          <w:rFonts w:ascii="Times New Roman;serif" w:hAnsi="Times New Roman;serif"/>
          <w:b w:val="false"/>
          <w:color w:val="000000"/>
          <w:sz w:val="20"/>
        </w:rPr>
      </w:pPr>
      <w:r>
        <w:rPr>
          <w:rFonts w:ascii="Times New Roman;serif" w:hAnsi="Times New Roman;serif"/>
          <w:b w:val="false"/>
          <w:color w:val="000000"/>
          <w:sz w:val="20"/>
        </w:rPr>
        <w:t>Based on management’s assessment of the age of the amounts receivable and the financial viability of the debtor, the Company records a provision for credit losses related to its short and long-term receivables. During the three and six months ended June 30, 2026 and 2025, there was no provision for credit losses related to its short and long-term receivables.</w:t>
      </w:r>
    </w:p>
    <w:p>
      <w:pPr>
        <w:pStyle w:val="TextBody"/>
        <w:bidi w:val="0"/>
        <w:spacing w:lineRule="auto" w:line="333" w:before="120" w:after="120"/>
        <w:jc w:val="left"/>
        <w:rPr/>
      </w:pPr>
      <w:r>
        <w:rPr>
          <w:rFonts w:ascii="Times New Roman;serif" w:hAnsi="Times New Roman;serif"/>
          <w:b w:val="false"/>
          <w:color w:val="000000"/>
          <w:sz w:val="20"/>
        </w:rPr>
        <w:t>The following table presents the activity in the Company's allowance for credit losses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4792" w:type="dxa"/>
        <w:jc w:val="left"/>
        <w:tblInd w:w="0" w:type="dxa"/>
        <w:tblLayout w:type="fixed"/>
        <w:tblCellMar>
          <w:top w:w="28" w:type="dxa"/>
          <w:left w:w="28" w:type="dxa"/>
          <w:bottom w:w="28" w:type="dxa"/>
          <w:right w:w="28" w:type="dxa"/>
        </w:tblCellMar>
      </w:tblPr>
      <w:tblGrid>
        <w:gridCol w:w="603"/>
        <w:gridCol w:w="529"/>
        <w:gridCol w:w="532"/>
        <w:gridCol w:w="425"/>
        <w:gridCol w:w="425"/>
        <w:gridCol w:w="425"/>
        <w:gridCol w:w="178"/>
        <w:gridCol w:w="178"/>
        <w:gridCol w:w="178"/>
        <w:gridCol w:w="386"/>
        <w:gridCol w:w="386"/>
        <w:gridCol w:w="547"/>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312" w:before="23" w:after="20"/>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8,439    </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2,445    </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312" w:before="43" w:after="20"/>
              <w:jc w:val="right"/>
              <w:rPr>
                <w:color w:val="000000"/>
              </w:rPr>
            </w:pPr>
            <w:r>
              <w:rPr>
                <w:color w:val="000000"/>
              </w:rPr>
              <w:t>    </w:t>
            </w:r>
            <w:r>
              <w:rPr>
                <w:rFonts w:ascii="Times New Roman;serif" w:hAnsi="Times New Roman;serif"/>
                <w:b w:val="false"/>
                <w:color w:val="000000"/>
                <w:sz w:val="20"/>
              </w:rPr>
              <w:t>(5,113)</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312" w:before="23" w:after="2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127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23" w:after="20"/>
              <w:jc w:val="right"/>
              <w:rPr>
                <w:rFonts w:ascii="Times New Roman;serif" w:hAnsi="Times New Roman;serif"/>
                <w:b w:val="false"/>
                <w:color w:val="000000"/>
                <w:sz w:val="20"/>
              </w:rPr>
            </w:pPr>
            <w:r>
              <w:rPr>
                <w:rFonts w:ascii="Times New Roman;serif" w:hAnsi="Times New Roman;serif"/>
                <w:b w:val="false"/>
                <w:color w:val="000000"/>
                <w:sz w:val="20"/>
              </w:rPr>
              <w:t>$    3,326    </w:t>
            </w:r>
          </w:p>
        </w:tc>
        <w:tc>
          <w:tcPr>
            <w:tcW w:w="534" w:type="dxa"/>
            <w:gridSpan w:val="3"/>
            <w:tcBorders/>
            <w:shd w:fill="CCEEFF" w:val="clear"/>
            <w:tcMar>
              <w:top w:w="0" w:type="dxa"/>
              <w:left w:w="0" w:type="dxa"/>
              <w:bottom w:w="0" w:type="dxa"/>
              <w:right w:w="0" w:type="dxa"/>
            </w:tcMar>
            <w:vAlign w:val="center"/>
          </w:tcPr>
          <w:p>
            <w:pPr>
              <w:pStyle w:val="TableContents"/>
              <w:bidi w:val="0"/>
              <w:spacing w:before="23" w:after="20"/>
              <w:jc w:val="left"/>
              <w:rPr/>
            </w:pPr>
            <w:r>
              <w:rPr/>
            </w:r>
          </w:p>
        </w:tc>
        <w:tc>
          <w:tcPr>
            <w:tcW w:w="13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23" w:after="20"/>
              <w:jc w:val="right"/>
              <w:rPr>
                <w:rFonts w:ascii="Times New Roman;serif" w:hAnsi="Times New Roman;serif"/>
                <w:b w:val="false"/>
                <w:color w:val="000000"/>
                <w:sz w:val="20"/>
              </w:rPr>
            </w:pPr>
            <w:r>
              <w:rPr>
                <w:rFonts w:ascii="Times New Roman;serif" w:hAnsi="Times New Roman;serif"/>
                <w:b w:val="false"/>
                <w:color w:val="000000"/>
                <w:sz w:val="20"/>
              </w:rPr>
              <w:t>$    2,445    </w:t>
            </w:r>
          </w:p>
        </w:tc>
      </w:tr>
    </w:tbl>
    <w:p>
      <w:pPr>
        <w:pStyle w:val="TextBody"/>
        <w:bidi w:val="0"/>
        <w:spacing w:before="0" w:after="120"/>
        <w:jc w:val="left"/>
        <w:rPr/>
      </w:pPr>
      <w:r>
        <w:rPr/>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20"/>
        <w:jc w:val="left"/>
        <w:rPr/>
      </w:pPr>
      <w:r>
        <w:rPr/>
      </w:r>
    </w:p>
    <w:p>
      <w:pPr>
        <w:pStyle w:val="TextBody"/>
        <w:bidi w:val="0"/>
        <w:spacing w:lineRule="auto" w:line="333" w:before="0" w:after="120"/>
        <w:ind w:left="0" w:right="0" w:hanging="1080"/>
        <w:jc w:val="left"/>
        <w:rPr>
          <w:rFonts w:ascii="Times New Roman;serif" w:hAnsi="Times New Roman;serif"/>
          <w:b/>
          <w:color w:val="000000"/>
          <w:sz w:val="20"/>
        </w:rPr>
      </w:pPr>
      <w:r>
        <w:rPr>
          <w:rFonts w:ascii="Times New Roman;serif" w:hAnsi="Times New Roman;serif"/>
          <w:b/>
          <w:color w:val="000000"/>
          <w:sz w:val="20"/>
        </w:rPr>
        <w:t>NOTE 8. LEASES</w:t>
      </w:r>
    </w:p>
    <w:p>
      <w:pPr>
        <w:pStyle w:val="TextBody"/>
        <w:bidi w:val="0"/>
        <w:spacing w:lineRule="auto" w:line="333" w:before="120" w:after="120"/>
        <w:jc w:val="left"/>
        <w:rPr>
          <w:rFonts w:ascii="Times New Roman;serif" w:hAnsi="Times New Roman;serif"/>
          <w:b w:val="false"/>
          <w:i/>
          <w:color w:val="000000"/>
          <w:sz w:val="20"/>
        </w:rPr>
      </w:pPr>
      <w:r>
        <w:rPr>
          <w:rFonts w:ascii="Times New Roman;serif" w:hAnsi="Times New Roman;serif"/>
          <w:b w:val="false"/>
          <w:i/>
          <w:color w:val="000000"/>
          <w:sz w:val="20"/>
        </w:rPr>
        <w:t>Lessor Arrangements: Digital Infrastructure Leasing Revenue</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On October 14, 2025, the Company entered into a leasing arrangement to provide digital infrastructure solutions to a single tenant at its Ward County facility which is accounted for under ASC 842. The lease commencement date for accounting purposes is December 19, 2025, and the lease term extends through January 2037. The lessee has one ten-year option to renew, as well as a right of first refusal on any additional power capacity that becomes available at our Ward County site. In February 2026, the Company reached an agreement to amend the lease of its Ward County facility. The amended agreement obligates the tenant to lease an additional 89 MW of capacity when such capacity becomes available, and requires the Company to add the tenant as a qualified occupant for Texas data center tax incentive purposes.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is the lessor in this arrangement and identifies the right of the customer to use the land, land improvements, buildings, and equipment as a lease component of the contract. The amendment represents a separate contract under ASC 842, as the assets leased will be in addition to those covered in the original agreement. Control of the assets leased per the amendment has not yet transferred to the tenant; as such, no revenue has been recognized.</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In both agreements, the Company has a stand-ready obligation to provide maintenance services to ensure the energy step-down transformation assets are operating reliably, which has been identified as a non-lease component of the arrangement. The Company determined that the lease component represents an operating lease, and the timing of the Company’s transfer of the aforementioned lease and non-lease components of the contract are the same. As such, and in accordance with ASC 842, the Company has elected the practical expedient to combine the accounting of the lease and non-lease components of the contract, with the predominant component of the arrangement being the lease component. Thus, the Company accounts for its lease of the Ward County property in accordance with ASC 842. The lease is classified as an operating lease, and leasing revenue is recognized on a straight-line basis over the lease term. Fixed lease payments are allocated to the combined lease components under the arrangement and total $1.9 billion. Other variable operating costs are paid for by the Company but consumed by the lessee and will be recognized as incurred. Variable lease payments received were immaterial and $0.1 million during the three and six months ended June 30, 2026, respectively. There were no variable lease payments received during the three and six months ended June 30, 2025.</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Reimbursements for taxes and insurance, as well as the Company’s obligation to add the tenant as a qualified occupant for Texas data center tax incentive purposes, are considered non-components of the lease and are accounted for separately.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Initial direct costs of $7.5 million are deferred and recognized over the lease term in accordance with ASC 842. Amortization of initial direct costs is presented in Cost of digital infrastructure solutions revenue, exclusive of depreciation in the Condensed Consolidated Statements of Operations.</w:t>
      </w:r>
    </w:p>
    <w:p>
      <w:pPr>
        <w:pStyle w:val="TextBody"/>
        <w:bidi w:val="0"/>
        <w:spacing w:lineRule="auto" w:line="333" w:before="120" w:after="120"/>
        <w:jc w:val="both"/>
        <w:rPr/>
      </w:pPr>
      <w:r>
        <w:rPr>
          <w:rFonts w:ascii="Times New Roman;serif" w:hAnsi="Times New Roman;serif"/>
          <w:b w:val="false"/>
          <w:color w:val="000000"/>
          <w:sz w:val="20"/>
        </w:rPr>
        <w:t>The following table summarizes the classes of the Company’s underlying leased assets, which are included within Property and equipment, net in the Condensed Consolidated Balance Sheets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6520" w:type="dxa"/>
        <w:jc w:val="left"/>
        <w:tblInd w:w="0" w:type="dxa"/>
        <w:tblLayout w:type="fixed"/>
        <w:tblCellMar>
          <w:top w:w="28" w:type="dxa"/>
          <w:left w:w="28" w:type="dxa"/>
          <w:bottom w:w="28" w:type="dxa"/>
          <w:right w:w="28" w:type="dxa"/>
        </w:tblCellMar>
      </w:tblPr>
      <w:tblGrid>
        <w:gridCol w:w="1140"/>
        <w:gridCol w:w="1002"/>
        <w:gridCol w:w="1008"/>
        <w:gridCol w:w="424"/>
        <w:gridCol w:w="424"/>
        <w:gridCol w:w="426"/>
        <w:gridCol w:w="109"/>
        <w:gridCol w:w="109"/>
        <w:gridCol w:w="109"/>
        <w:gridCol w:w="517"/>
        <w:gridCol w:w="517"/>
        <w:gridCol w:w="735"/>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312" w:before="33" w:after="30"/>
              <w:jc w:val="left"/>
              <w:rPr>
                <w:rFonts w:ascii="Times New Roman;serif" w:hAnsi="Times New Roman;serif"/>
                <w:b w:val="false"/>
                <w:color w:val="000000"/>
                <w:sz w:val="20"/>
              </w:rPr>
            </w:pPr>
            <w:r>
              <w:rPr>
                <w:rFonts w:ascii="Times New Roman;serif" w:hAnsi="Times New Roman;serif"/>
                <w:b w:val="false"/>
                <w:color w:val="000000"/>
                <w:sz w:val="20"/>
              </w:rPr>
              <w:t>Machinery and facilities equipment</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33" w:after="30"/>
              <w:jc w:val="right"/>
              <w:rPr>
                <w:rFonts w:ascii="Times New Roman;serif" w:hAnsi="Times New Roman;serif"/>
                <w:b w:val="false"/>
                <w:color w:val="000000"/>
                <w:sz w:val="20"/>
              </w:rPr>
            </w:pPr>
            <w:r>
              <w:rPr>
                <w:rFonts w:ascii="Times New Roman;serif" w:hAnsi="Times New Roman;serif"/>
                <w:b w:val="false"/>
                <w:color w:val="000000"/>
                <w:sz w:val="20"/>
              </w:rPr>
              <w:t>$    26,414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33" w:after="30"/>
              <w:jc w:val="right"/>
              <w:rPr>
                <w:rFonts w:ascii="Times New Roman;serif" w:hAnsi="Times New Roman;serif"/>
                <w:b w:val="false"/>
                <w:color w:val="000000"/>
                <w:sz w:val="20"/>
              </w:rPr>
            </w:pPr>
            <w:r>
              <w:rPr>
                <w:rFonts w:ascii="Times New Roman;serif" w:hAnsi="Times New Roman;serif"/>
                <w:b w:val="false"/>
                <w:color w:val="000000"/>
                <w:sz w:val="20"/>
              </w:rPr>
              <w:t>$    26,414    </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1,020    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1,020    </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20"/>
              </w:rPr>
            </w:pPr>
            <w:r>
              <w:rPr>
                <w:rFonts w:ascii="Times New Roman;serif" w:hAnsi="Times New Roman;serif"/>
                <w:b w:val="false"/>
                <w:color w:val="000000"/>
                <w:sz w:val="20"/>
              </w:rPr>
              <w:t>Building</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32,933    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32,933    </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20"/>
              </w:rPr>
            </w:pPr>
            <w:r>
              <w:rPr>
                <w:rFonts w:ascii="Times New Roman;serif" w:hAnsi="Times New Roman;serif"/>
                <w:b w:val="false"/>
                <w:color w:val="000000"/>
                <w:sz w:val="20"/>
              </w:rPr>
              <w:t>Land Improvement</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383    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383    </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312" w:before="33" w:after="30"/>
              <w:jc w:val="left"/>
              <w:rPr>
                <w:rFonts w:ascii="Times New Roman;serif" w:hAnsi="Times New Roman;serif"/>
                <w:b w:val="false"/>
                <w:color w:val="000000"/>
                <w:sz w:val="20"/>
              </w:rPr>
            </w:pPr>
            <w:r>
              <w:rPr>
                <w:rFonts w:ascii="Times New Roman;serif" w:hAnsi="Times New Roman;serif"/>
                <w:b w:val="false"/>
                <w:color w:val="000000"/>
                <w:sz w:val="20"/>
              </w:rPr>
              <w:t>Total cost of underlying leased assets</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33" w:after="30"/>
              <w:jc w:val="right"/>
              <w:rPr>
                <w:color w:val="000000"/>
              </w:rPr>
            </w:pPr>
            <w:r>
              <w:rPr>
                <w:color w:val="000000"/>
              </w:rPr>
              <w:t>    </w:t>
            </w:r>
            <w:r>
              <w:rPr>
                <w:rFonts w:ascii="Times New Roman;serif" w:hAnsi="Times New Roman;serif"/>
                <w:b w:val="false"/>
                <w:color w:val="000000"/>
                <w:sz w:val="20"/>
              </w:rPr>
              <w:t>60,750    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33" w:after="30"/>
              <w:jc w:val="right"/>
              <w:rPr>
                <w:color w:val="000000"/>
              </w:rPr>
            </w:pPr>
            <w:r>
              <w:rPr>
                <w:color w:val="000000"/>
              </w:rPr>
              <w:t>    </w:t>
            </w:r>
            <w:r>
              <w:rPr>
                <w:rFonts w:ascii="Times New Roman;serif" w:hAnsi="Times New Roman;serif"/>
                <w:b w:val="false"/>
                <w:color w:val="000000"/>
                <w:sz w:val="20"/>
              </w:rPr>
              <w:t>60,750    </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(10,853)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(7,877)</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312" w:before="33" w:after="30"/>
              <w:jc w:val="left"/>
              <w:rPr>
                <w:rFonts w:ascii="Times New Roman;serif" w:hAnsi="Times New Roman;serif"/>
                <w:b/>
                <w:color w:val="000000"/>
                <w:sz w:val="20"/>
              </w:rPr>
            </w:pPr>
            <w:r>
              <w:rPr>
                <w:rFonts w:ascii="Times New Roman;serif" w:hAnsi="Times New Roman;serif"/>
                <w:b/>
                <w:color w:val="000000"/>
                <w:sz w:val="20"/>
              </w:rPr>
              <w:t>Underlying leased assets, net</w:t>
            </w:r>
          </w:p>
        </w:tc>
        <w:tc>
          <w:tcPr>
            <w:tcW w:w="127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33" w:after="30"/>
              <w:jc w:val="right"/>
              <w:rPr>
                <w:rFonts w:ascii="Times New Roman;serif" w:hAnsi="Times New Roman;serif"/>
                <w:b w:val="false"/>
                <w:color w:val="000000"/>
                <w:sz w:val="20"/>
              </w:rPr>
            </w:pPr>
            <w:r>
              <w:rPr>
                <w:rFonts w:ascii="Times New Roman;serif" w:hAnsi="Times New Roman;serif"/>
                <w:b w:val="false"/>
                <w:color w:val="000000"/>
                <w:sz w:val="20"/>
              </w:rPr>
              <w:t>$    49,897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33" w:after="30"/>
              <w:jc w:val="right"/>
              <w:rPr>
                <w:rFonts w:ascii="Times New Roman;serif" w:hAnsi="Times New Roman;serif"/>
                <w:b w:val="false"/>
                <w:color w:val="000000"/>
                <w:sz w:val="20"/>
              </w:rPr>
            </w:pPr>
            <w:r>
              <w:rPr>
                <w:rFonts w:ascii="Times New Roman;serif" w:hAnsi="Times New Roman;serif"/>
                <w:b w:val="false"/>
                <w:color w:val="000000"/>
                <w:sz w:val="20"/>
              </w:rPr>
              <w:t>$    52,873    </w:t>
            </w:r>
          </w:p>
        </w:tc>
      </w:tr>
    </w:tbl>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for the three and six months ended June 30, 2026 was $1.5 million and $3.0 million respectively. There was no depreciation expense for the three and six months ended June 30, 2025. </w:t>
      </w:r>
    </w:p>
    <w:p>
      <w:pPr>
        <w:pStyle w:val="TextBody"/>
        <w:bidi w:val="0"/>
        <w:spacing w:lineRule="auto" w:line="333" w:before="120" w:after="120"/>
        <w:jc w:val="both"/>
        <w:rPr/>
      </w:pPr>
      <w:r>
        <w:rPr>
          <w:rFonts w:ascii="Times New Roman;serif" w:hAnsi="Times New Roman;serif"/>
          <w:b w:val="false"/>
          <w:color w:val="000000"/>
          <w:sz w:val="20"/>
        </w:rPr>
        <w:t>The amounts presented below represent fixed lease payments to be received by the Company under the lease agreement as of June 30, 2026 and excludes variable lease payments, which are recognized as revenue in the period in which they occur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6300" w:type="dxa"/>
        <w:jc w:val="left"/>
        <w:tblInd w:w="0" w:type="dxa"/>
        <w:tblLayout w:type="fixed"/>
        <w:tblCellMar>
          <w:top w:w="28" w:type="dxa"/>
          <w:left w:w="28" w:type="dxa"/>
          <w:bottom w:w="28" w:type="dxa"/>
          <w:right w:w="28" w:type="dxa"/>
        </w:tblCellMar>
      </w:tblPr>
      <w:tblGrid>
        <w:gridCol w:w="1688"/>
        <w:gridCol w:w="1483"/>
        <w:gridCol w:w="1494"/>
        <w:gridCol w:w="479"/>
        <w:gridCol w:w="479"/>
        <w:gridCol w:w="677"/>
      </w:tblGrid>
      <w:tr>
        <w:trPr/>
        <w:tc>
          <w:tcPr>
            <w:tcW w:w="1688"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312" w:before="33" w:after="3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33" w:after="30"/>
              <w:jc w:val="right"/>
              <w:rPr>
                <w:rFonts w:ascii="Times New Roman;serif" w:hAnsi="Times New Roman;serif"/>
                <w:b w:val="false"/>
                <w:color w:val="000000"/>
                <w:sz w:val="20"/>
              </w:rPr>
            </w:pPr>
            <w:r>
              <w:rPr>
                <w:rFonts w:ascii="Times New Roman;serif" w:hAnsi="Times New Roman;serif"/>
                <w:b w:val="false"/>
                <w:color w:val="000000"/>
                <w:sz w:val="20"/>
              </w:rPr>
              <w:t>$    29,250    </w:t>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135,233    </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178,718    </w:t>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182,520    </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182,520    </w:t>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1,195,824    </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312" w:before="33" w:after="30"/>
              <w:jc w:val="left"/>
              <w:rPr>
                <w:rFonts w:ascii="Times New Roman;serif" w:hAnsi="Times New Roman;serif"/>
                <w:b/>
                <w:color w:val="000000"/>
                <w:sz w:val="20"/>
              </w:rPr>
            </w:pPr>
            <w:r>
              <w:rPr>
                <w:rFonts w:ascii="Times New Roman;serif" w:hAnsi="Times New Roman;serif"/>
                <w:b/>
                <w:color w:val="000000"/>
                <w:sz w:val="20"/>
              </w:rPr>
              <w:t>Total future minimum receipts on lessor arrangement</w:t>
            </w:r>
          </w:p>
        </w:tc>
        <w:tc>
          <w:tcPr>
            <w:tcW w:w="163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33" w:after="30"/>
              <w:jc w:val="right"/>
              <w:rPr>
                <w:rFonts w:ascii="Times New Roman;serif" w:hAnsi="Times New Roman;serif"/>
                <w:b w:val="false"/>
                <w:color w:val="000000"/>
                <w:sz w:val="20"/>
              </w:rPr>
            </w:pPr>
            <w:r>
              <w:rPr>
                <w:rFonts w:ascii="Times New Roman;serif" w:hAnsi="Times New Roman;serif"/>
                <w:b w:val="false"/>
                <w:color w:val="000000"/>
                <w:sz w:val="20"/>
              </w:rPr>
              <w:t>$    1,904,065    </w:t>
            </w:r>
          </w:p>
        </w:tc>
      </w:tr>
    </w:tbl>
    <w:p>
      <w:pPr>
        <w:pStyle w:val="TextBody"/>
        <w:bidi w:val="0"/>
        <w:spacing w:lineRule="auto" w:line="333" w:before="120" w:after="120"/>
        <w:jc w:val="left"/>
        <w:rPr>
          <w:rFonts w:ascii="Times New Roman;serif" w:hAnsi="Times New Roman;serif"/>
          <w:b w:val="false"/>
          <w:i/>
          <w:color w:val="000000"/>
          <w:sz w:val="20"/>
        </w:rPr>
      </w:pPr>
      <w:r>
        <w:rPr>
          <w:rFonts w:ascii="Times New Roman;serif" w:hAnsi="Times New Roman;serif"/>
          <w:b w:val="false"/>
          <w:i/>
          <w:color w:val="000000"/>
          <w:sz w:val="20"/>
        </w:rPr>
        <w:t>Lessee Arrangements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Ionic Digital’s lease arrangements primarily consist of operating leases for land for the purpose of running data center facilities used for cryptocurrency mining. Certain leases include options to renew for periods ranging from one month to ten years, which are included in the measurement of the right-of-use asset and lease liability when the Company determines it is reasonably certain that the renewal option will be exercised. Operating lease liabilities are recognized based on the present value of the future minimum lease payments over the lease term determinable at the lease commencement date. Variable lease payments include amounts paid by the Company for the right to use an asset that vary because of changes in facts and circumstances occurring after the commencement date, such as energy consumption or revenue generation. Variable lease payments not based on an index or rate, such as those based on usage or performance, are excluded from the measurement of the right-of-use asset and lease liability and are recognized as lease expense in the period incurred. The Company has no finance leasing arrangements.</w:t>
      </w:r>
    </w:p>
    <w:p>
      <w:pPr>
        <w:pStyle w:val="TextBody"/>
        <w:bidi w:val="0"/>
        <w:spacing w:lineRule="auto" w:line="333" w:before="120" w:after="120"/>
        <w:jc w:val="both"/>
        <w:rPr/>
      </w:pPr>
      <w:r>
        <w:rPr>
          <w:rFonts w:ascii="Times New Roman;serif" w:hAnsi="Times New Roman;serif"/>
          <w:b w:val="false"/>
          <w:color w:val="000000"/>
          <w:sz w:val="20"/>
        </w:rPr>
        <w:t>The Company leases the land at two of our Midland sites. The following table presents the Company's right-of-use assets, which are included within Deposits and other non-current assets in the Condensed Consolidated Balance Sheets, and lease liabilities, which are included in Accrued expenses and other current liabilities and Non-current portion of lease liability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6609" w:type="dxa"/>
        <w:jc w:val="left"/>
        <w:tblInd w:w="0" w:type="dxa"/>
        <w:tblLayout w:type="fixed"/>
        <w:tblCellMar>
          <w:top w:w="28" w:type="dxa"/>
          <w:left w:w="28" w:type="dxa"/>
          <w:bottom w:w="28" w:type="dxa"/>
          <w:right w:w="28" w:type="dxa"/>
        </w:tblCellMar>
      </w:tblPr>
      <w:tblGrid>
        <w:gridCol w:w="1173"/>
        <w:gridCol w:w="1030"/>
        <w:gridCol w:w="1036"/>
        <w:gridCol w:w="424"/>
        <w:gridCol w:w="424"/>
        <w:gridCol w:w="426"/>
        <w:gridCol w:w="109"/>
        <w:gridCol w:w="109"/>
        <w:gridCol w:w="109"/>
        <w:gridCol w:w="517"/>
        <w:gridCol w:w="517"/>
        <w:gridCol w:w="735"/>
      </w:tblGrid>
      <w:tr>
        <w:trPr/>
        <w:tc>
          <w:tcPr>
            <w:tcW w:w="117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312" w:before="33" w:after="3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33" w:after="30"/>
              <w:jc w:val="right"/>
              <w:rPr>
                <w:rFonts w:ascii="Times New Roman;serif" w:hAnsi="Times New Roman;serif"/>
                <w:b w:val="false"/>
                <w:color w:val="000000"/>
                <w:sz w:val="20"/>
              </w:rPr>
            </w:pPr>
            <w:r>
              <w:rPr>
                <w:rFonts w:ascii="Times New Roman;serif" w:hAnsi="Times New Roman;serif"/>
                <w:b w:val="false"/>
                <w:color w:val="000000"/>
                <w:sz w:val="20"/>
              </w:rPr>
              <w:t>$    399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33" w:after="30"/>
              <w:jc w:val="right"/>
              <w:rPr>
                <w:rFonts w:ascii="Times New Roman;serif" w:hAnsi="Times New Roman;serif"/>
                <w:b w:val="false"/>
                <w:color w:val="000000"/>
                <w:sz w:val="20"/>
              </w:rPr>
            </w:pPr>
            <w:r>
              <w:rPr>
                <w:rFonts w:ascii="Times New Roman;serif" w:hAnsi="Times New Roman;serif"/>
                <w:b w:val="false"/>
                <w:color w:val="000000"/>
                <w:sz w:val="20"/>
              </w:rPr>
              <w:t>$    429    </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38    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38    </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138    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170    </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312" w:before="33" w:after="30"/>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127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33" w:after="30"/>
              <w:jc w:val="right"/>
              <w:rPr>
                <w:rFonts w:ascii="Times New Roman;serif" w:hAnsi="Times New Roman;serif"/>
                <w:b w:val="false"/>
                <w:color w:val="000000"/>
                <w:sz w:val="20"/>
              </w:rPr>
            </w:pPr>
            <w:r>
              <w:rPr>
                <w:rFonts w:ascii="Times New Roman;serif" w:hAnsi="Times New Roman;serif"/>
                <w:b w:val="false"/>
                <w:color w:val="000000"/>
                <w:sz w:val="20"/>
              </w:rPr>
              <w:t>$    176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33" w:after="30"/>
              <w:jc w:val="right"/>
              <w:rPr>
                <w:rFonts w:ascii="Times New Roman;serif" w:hAnsi="Times New Roman;serif"/>
                <w:b w:val="false"/>
                <w:color w:val="000000"/>
                <w:sz w:val="20"/>
              </w:rPr>
            </w:pPr>
            <w:r>
              <w:rPr>
                <w:rFonts w:ascii="Times New Roman;serif" w:hAnsi="Times New Roman;serif"/>
                <w:b w:val="false"/>
                <w:color w:val="000000"/>
                <w:sz w:val="20"/>
              </w:rPr>
              <w:t>$    208    </w:t>
            </w:r>
          </w:p>
        </w:tc>
      </w:tr>
    </w:tbl>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One of the Company’s lease agreements is based entirely on variable payments as was in an agreement terminated in the second quarter of 2025. The lease expense disclosed herein for 2025 related to the mining facility in Georgia represents an amount allocated between the lease and non-lease components of the Company’s hosting agreement with EZB. In addition, the Company has several short-term equipment rental agreements for which it elects the practical expedient not to record the right-of-use asset and lease liability on the balance sheet.</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333" w:before="120" w:after="120"/>
        <w:jc w:val="both"/>
        <w:rPr/>
      </w:pPr>
      <w:r>
        <w:rPr>
          <w:rFonts w:ascii="Times New Roman;serif" w:hAnsi="Times New Roman;serif"/>
          <w:b w:val="false"/>
          <w:color w:val="000000"/>
          <w:sz w:val="20"/>
        </w:rPr>
        <w:t>The components of total lease cost recorded in the Condensed Consolidated Statements of Operations are as follows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9164" w:type="dxa"/>
        <w:jc w:val="left"/>
        <w:tblInd w:w="0" w:type="dxa"/>
        <w:tblLayout w:type="fixed"/>
        <w:tblCellMar>
          <w:top w:w="28" w:type="dxa"/>
          <w:left w:w="28" w:type="dxa"/>
          <w:bottom w:w="28" w:type="dxa"/>
          <w:right w:w="28" w:type="dxa"/>
        </w:tblCellMar>
      </w:tblPr>
      <w:tblGrid>
        <w:gridCol w:w="918"/>
        <w:gridCol w:w="805"/>
        <w:gridCol w:w="812"/>
        <w:gridCol w:w="425"/>
        <w:gridCol w:w="425"/>
        <w:gridCol w:w="425"/>
        <w:gridCol w:w="208"/>
        <w:gridCol w:w="208"/>
        <w:gridCol w:w="208"/>
        <w:gridCol w:w="425"/>
        <w:gridCol w:w="425"/>
        <w:gridCol w:w="425"/>
        <w:gridCol w:w="109"/>
        <w:gridCol w:w="109"/>
        <w:gridCol w:w="109"/>
        <w:gridCol w:w="425"/>
        <w:gridCol w:w="425"/>
        <w:gridCol w:w="425"/>
        <w:gridCol w:w="178"/>
        <w:gridCol w:w="178"/>
        <w:gridCol w:w="178"/>
        <w:gridCol w:w="386"/>
        <w:gridCol w:w="386"/>
        <w:gridCol w:w="547"/>
      </w:tblGrid>
      <w:tr>
        <w:trPr/>
        <w:tc>
          <w:tcPr>
            <w:tcW w:w="9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20"/>
              </w:rPr>
            </w:pPr>
            <w:r>
              <w:rPr>
                <w:rFonts w:ascii="Times New Roman;serif" w:hAnsi="Times New Roman;serif"/>
                <w:b w:val="false"/>
                <w:color w:val="000000"/>
                <w:sz w:val="20"/>
              </w:rPr>
              <w:t>Fixed lease cost</w:t>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19    </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19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38    </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38    </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13    </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52    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24    </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113    </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12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color w:val="000000"/>
              </w:rPr>
            </w:pPr>
            <w:r>
              <w:rPr>
                <w:color w:val="000000"/>
              </w:rPr>
              <w:t>    </w:t>
            </w:r>
            <w:r>
              <w:rPr>
                <w:rFonts w:ascii="Times New Roman;serif" w:hAnsi="Times New Roman;serif"/>
                <w:b w:val="false"/>
                <w:color w:val="000000"/>
                <w:sz w:val="20"/>
              </w:rPr>
              <w:t>32    </w:t>
            </w:r>
          </w:p>
        </w:tc>
        <w:tc>
          <w:tcPr>
            <w:tcW w:w="6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12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color w:val="000000"/>
              </w:rPr>
            </w:pPr>
            <w:r>
              <w:rPr>
                <w:color w:val="000000"/>
              </w:rPr>
              <w:t>    </w:t>
            </w:r>
            <w:r>
              <w:rPr>
                <w:rFonts w:ascii="Times New Roman;serif" w:hAnsi="Times New Roman;serif"/>
                <w:b w:val="false"/>
                <w:color w:val="000000"/>
                <w:sz w:val="20"/>
              </w:rPr>
              <w:t>71    </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color w:val="000000"/>
              </w:rPr>
            </w:pPr>
            <w:r>
              <w:rPr>
                <w:color w:val="000000"/>
              </w:rPr>
              <w:t>    </w:t>
            </w:r>
            <w:r>
              <w:rPr>
                <w:rFonts w:ascii="Times New Roman;serif" w:hAnsi="Times New Roman;serif"/>
                <w:b w:val="false"/>
                <w:color w:val="000000"/>
                <w:sz w:val="20"/>
              </w:rPr>
              <w:t>62    </w:t>
            </w:r>
          </w:p>
        </w:tc>
        <w:tc>
          <w:tcPr>
            <w:tcW w:w="53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color w:val="000000"/>
              </w:rPr>
            </w:pPr>
            <w:r>
              <w:rPr>
                <w:color w:val="000000"/>
              </w:rPr>
              <w:t>    </w:t>
            </w:r>
            <w:r>
              <w:rPr>
                <w:rFonts w:ascii="Times New Roman;serif" w:hAnsi="Times New Roman;serif"/>
                <w:b w:val="false"/>
                <w:color w:val="000000"/>
                <w:sz w:val="20"/>
              </w:rPr>
              <w:t>151    </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20"/>
              </w:rPr>
            </w:pPr>
            <w:r>
              <w:rPr>
                <w:rFonts w:ascii="Times New Roman;serif" w:hAnsi="Times New Roman;serif"/>
                <w:b w:val="false"/>
                <w:color w:val="000000"/>
                <w:sz w:val="20"/>
              </w:rPr>
              <w:t>Short-term lease expense</w:t>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33" w:after="30"/>
              <w:jc w:val="right"/>
              <w:rPr>
                <w:color w:val="000000"/>
              </w:rPr>
            </w:pPr>
            <w:r>
              <w:rPr>
                <w:color w:val="000000"/>
              </w:rPr>
              <w:t>    </w:t>
            </w:r>
            <w:r>
              <w:rPr>
                <w:rFonts w:ascii="Times New Roman;serif" w:hAnsi="Times New Roman;serif"/>
                <w:b w:val="false"/>
                <w:color w:val="000000"/>
                <w:sz w:val="20"/>
              </w:rPr>
              <w:t>83    </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33" w:after="30"/>
              <w:jc w:val="right"/>
              <w:rPr>
                <w:color w:val="000000"/>
              </w:rPr>
            </w:pPr>
            <w:r>
              <w:rPr>
                <w:color w:val="000000"/>
              </w:rPr>
              <w:t>    </w:t>
            </w:r>
            <w:r>
              <w:rPr>
                <w:rFonts w:ascii="Times New Roman;serif" w:hAnsi="Times New Roman;serif"/>
                <w:b w:val="false"/>
                <w:color w:val="000000"/>
                <w:sz w:val="20"/>
              </w:rPr>
              <w:t>141    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33" w:after="30"/>
              <w:jc w:val="right"/>
              <w:rPr>
                <w:color w:val="000000"/>
              </w:rPr>
            </w:pPr>
            <w:r>
              <w:rPr>
                <w:color w:val="000000"/>
              </w:rPr>
              <w:t>    </w:t>
            </w:r>
            <w:r>
              <w:rPr>
                <w:rFonts w:ascii="Times New Roman;serif" w:hAnsi="Times New Roman;serif"/>
                <w:b w:val="false"/>
                <w:color w:val="000000"/>
                <w:sz w:val="20"/>
              </w:rPr>
              <w:t>156    </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33" w:after="30"/>
              <w:jc w:val="right"/>
              <w:rPr>
                <w:color w:val="000000"/>
              </w:rPr>
            </w:pPr>
            <w:r>
              <w:rPr>
                <w:color w:val="000000"/>
              </w:rPr>
              <w:t>    </w:t>
            </w:r>
            <w:r>
              <w:rPr>
                <w:rFonts w:ascii="Times New Roman;serif" w:hAnsi="Times New Roman;serif"/>
                <w:b w:val="false"/>
                <w:color w:val="000000"/>
                <w:sz w:val="20"/>
              </w:rPr>
              <w:t>240    </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333" w:before="33" w:after="3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operating lease expense</w:t>
            </w:r>
          </w:p>
        </w:tc>
        <w:tc>
          <w:tcPr>
            <w:tcW w:w="127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115    </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7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212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218    </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391    </w:t>
            </w:r>
          </w:p>
        </w:tc>
      </w:tr>
    </w:tbl>
    <w:p>
      <w:pPr>
        <w:pStyle w:val="TextBody"/>
        <w:bidi w:val="0"/>
        <w:spacing w:lineRule="auto" w:line="333" w:before="120" w:after="120"/>
        <w:jc w:val="both"/>
        <w:rPr/>
      </w:pPr>
      <w:r>
        <w:rPr>
          <w:rFonts w:ascii="Times New Roman;serif" w:hAnsi="Times New Roman;serif"/>
          <w:b w:val="false"/>
          <w:color w:val="000000"/>
          <w:sz w:val="20"/>
        </w:rPr>
        <w:t>Additional supplemental operating lease information is as follows (</w:t>
      </w:r>
      <w:r>
        <w:rPr>
          <w:rFonts w:ascii="Times New Roman;serif" w:hAnsi="Times New Roman;serif"/>
          <w:b w:val="false"/>
          <w:i/>
          <w:color w:val="000000"/>
          <w:sz w:val="20"/>
        </w:rPr>
        <w:t>dollars in thousands</w:t>
      </w:r>
      <w:r>
        <w:rPr>
          <w:rFonts w:ascii="Times New Roman;serif" w:hAnsi="Times New Roman;serif"/>
          <w:b w:val="false"/>
          <w:color w:val="000000"/>
          <w:sz w:val="20"/>
        </w:rPr>
        <w:t>):</w:t>
      </w:r>
    </w:p>
    <w:tbl>
      <w:tblPr>
        <w:tblW w:w="8287" w:type="dxa"/>
        <w:jc w:val="left"/>
        <w:tblInd w:w="0" w:type="dxa"/>
        <w:tblLayout w:type="fixed"/>
        <w:tblCellMar>
          <w:top w:w="28" w:type="dxa"/>
          <w:left w:w="28" w:type="dxa"/>
          <w:bottom w:w="28" w:type="dxa"/>
          <w:right w:w="28" w:type="dxa"/>
        </w:tblCellMar>
      </w:tblPr>
      <w:tblGrid>
        <w:gridCol w:w="1868"/>
        <w:gridCol w:w="1640"/>
        <w:gridCol w:w="1651"/>
        <w:gridCol w:w="425"/>
        <w:gridCol w:w="425"/>
        <w:gridCol w:w="425"/>
        <w:gridCol w:w="178"/>
        <w:gridCol w:w="178"/>
        <w:gridCol w:w="178"/>
        <w:gridCol w:w="386"/>
        <w:gridCol w:w="386"/>
        <w:gridCol w:w="547"/>
      </w:tblGrid>
      <w:tr>
        <w:trPr/>
        <w:tc>
          <w:tcPr>
            <w:tcW w:w="1868"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20"/>
              </w:rPr>
            </w:pPr>
            <w:r>
              <w:rPr>
                <w:rFonts w:ascii="Times New Roman;serif" w:hAnsi="Times New Roman;serif"/>
                <w:b w:val="false"/>
                <w:color w:val="000000"/>
                <w:sz w:val="20"/>
              </w:rPr>
              <w:t>Operating cash outflows included in operating lease liabilities</w:t>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39    </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38    </w:t>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6.92</w:t>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pPr>
            <w:r>
              <w:rPr>
                <w:rFonts w:ascii="Times New Roman;serif" w:hAnsi="Times New Roman;serif"/>
                <w:b w:val="false"/>
                <w:color w:val="000000"/>
                <w:sz w:val="20"/>
              </w:rPr>
              <w:t xml:space="preserve">Weighted-average discount rate </w:t>
            </w:r>
            <w:r>
              <w:rPr>
                <w:rFonts w:ascii="Times New Roman;serif" w:hAnsi="Times New Roman;serif"/>
                <w:b w:val="false"/>
                <w:color w:val="000000"/>
                <w:sz w:val="13"/>
              </w:rPr>
              <w:t>(1)</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7.0%    </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7.0    %</w:t>
            </w:r>
          </w:p>
        </w:tc>
      </w:tr>
    </w:tbl>
    <w:p>
      <w:pPr>
        <w:pStyle w:val="TextBody"/>
        <w:bidi w:val="0"/>
        <w:spacing w:lineRule="auto" w:line="333" w:before="120" w:after="120"/>
        <w:ind w:left="0" w:right="0" w:hanging="180"/>
        <w:jc w:val="both"/>
        <w:rPr/>
      </w:pPr>
      <w:r>
        <w:rPr>
          <w:rFonts w:ascii="Times New Roman;serif" w:hAnsi="Times New Roman;serif"/>
          <w:b w:val="false"/>
          <w:color w:val="000000"/>
          <w:sz w:val="13"/>
        </w:rPr>
        <w:t>(1)</w:t>
      </w:r>
      <w:r>
        <w:rPr>
          <w:rFonts w:ascii="Times New Roman;serif" w:hAnsi="Times New Roman;serif"/>
          <w:b w:val="false"/>
          <w:i/>
          <w:color w:val="000000"/>
          <w:sz w:val="20"/>
        </w:rPr>
        <w:t>As the rate implicit in the leases was not readily determinable, the incremental borrowing rate at the lease commencement was used to determine the present value of minimum lease payments.</w:t>
      </w:r>
      <w:r>
        <w:rPr>
          <w:color w:val="000000"/>
        </w:rPr>
        <w:t xml:space="preserve"> </w:t>
      </w:r>
    </w:p>
    <w:p>
      <w:pPr>
        <w:pStyle w:val="TextBody"/>
        <w:bidi w:val="0"/>
        <w:spacing w:lineRule="auto" w:line="333" w:before="120" w:after="120"/>
        <w:jc w:val="both"/>
        <w:rPr/>
      </w:pPr>
      <w:r>
        <w:rPr>
          <w:rFonts w:ascii="Times New Roman;serif" w:hAnsi="Times New Roman;serif"/>
          <w:b w:val="false"/>
          <w:color w:val="000000"/>
          <w:sz w:val="20"/>
        </w:rPr>
        <w:t>As of June 30, 2026, maturities of Ionic Digital’s operating lease liability, which do not include variable lease payments, are as follows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5144" w:type="dxa"/>
        <w:jc w:val="left"/>
        <w:tblInd w:w="0" w:type="dxa"/>
        <w:tblLayout w:type="fixed"/>
        <w:tblCellMar>
          <w:top w:w="28" w:type="dxa"/>
          <w:left w:w="28" w:type="dxa"/>
          <w:bottom w:w="28" w:type="dxa"/>
          <w:right w:w="28" w:type="dxa"/>
        </w:tblCellMar>
      </w:tblPr>
      <w:tblGrid>
        <w:gridCol w:w="1270"/>
        <w:gridCol w:w="1115"/>
        <w:gridCol w:w="1124"/>
        <w:gridCol w:w="479"/>
        <w:gridCol w:w="479"/>
        <w:gridCol w:w="677"/>
      </w:tblGrid>
      <w:tr>
        <w:trPr/>
        <w:tc>
          <w:tcPr>
            <w:tcW w:w="127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3509" w:type="dxa"/>
            <w:gridSpan w:val="3"/>
            <w:tcBorders/>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41    </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42    </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43    </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44    </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46    </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333" w:before="43" w:after="30"/>
              <w:jc w:val="left"/>
              <w:rPr>
                <w:rFonts w:ascii="Times New Roman;serif" w:hAnsi="Times New Roman;serif"/>
                <w:b w:val="false"/>
                <w:color w:val="000000"/>
                <w:sz w:val="20"/>
              </w:rPr>
            </w:pPr>
            <w:r>
              <w:rPr>
                <w:rFonts w:ascii="Times New Roman;serif" w:hAnsi="Times New Roman;serif"/>
                <w:b w:val="false"/>
                <w:color w:val="000000"/>
                <w:sz w:val="20"/>
              </w:rPr>
              <w:t>Total undiscounted future lease payments</w:t>
            </w:r>
          </w:p>
        </w:tc>
        <w:tc>
          <w:tcPr>
            <w:tcW w:w="163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33" w:before="43" w:after="30"/>
              <w:jc w:val="right"/>
              <w:rPr>
                <w:color w:val="000000"/>
              </w:rPr>
            </w:pPr>
            <w:r>
              <w:rPr>
                <w:color w:val="000000"/>
              </w:rPr>
              <w:t>    </w:t>
            </w:r>
            <w:r>
              <w:rPr>
                <w:rFonts w:ascii="Times New Roman;serif" w:hAnsi="Times New Roman;serif"/>
                <w:b w:val="false"/>
                <w:color w:val="000000"/>
                <w:sz w:val="20"/>
              </w:rPr>
              <w:t>216    </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Less: present value discount</w:t>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(40)</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20"/>
              </w:rPr>
            </w:pPr>
            <w:r>
              <w:rPr>
                <w:rFonts w:ascii="Times New Roman;serif" w:hAnsi="Times New Roman;serif"/>
                <w:b w:val="false"/>
                <w:color w:val="000000"/>
                <w:sz w:val="20"/>
              </w:rPr>
              <w:t>Present value of operating lease liabilities</w:t>
            </w:r>
          </w:p>
        </w:tc>
        <w:tc>
          <w:tcPr>
            <w:tcW w:w="163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176    </w:t>
            </w:r>
          </w:p>
        </w:tc>
      </w:tr>
    </w:tbl>
    <w:p>
      <w:pPr>
        <w:pStyle w:val="TextBody"/>
        <w:bidi w:val="0"/>
        <w:spacing w:before="0" w:after="120"/>
        <w:jc w:val="center"/>
        <w:rPr/>
      </w:pPr>
      <w:r>
        <w:rPr/>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20"/>
        <w:jc w:val="center"/>
        <w:rPr/>
      </w:pPr>
      <w:r>
        <w:rPr/>
      </w:r>
    </w:p>
    <w:p>
      <w:pPr>
        <w:pStyle w:val="TextBody"/>
        <w:bidi w:val="0"/>
        <w:spacing w:lineRule="auto" w:line="312" w:before="0" w:after="0"/>
        <w:jc w:val="left"/>
        <w:rPr/>
      </w:pPr>
      <w:r>
        <w:rPr>
          <w:rFonts w:ascii="Times New Roman;serif" w:hAnsi="Times New Roman;serif"/>
          <w:b/>
          <w:color w:val="000000"/>
          <w:sz w:val="20"/>
        </w:rPr>
        <w:t>NOTE 9.</w:t>
      </w:r>
      <w:r>
        <w:rPr>
          <w:color w:val="000000"/>
        </w:rPr>
        <w:t xml:space="preserve"> </w:t>
      </w:r>
      <w:r>
        <w:rPr>
          <w:rFonts w:ascii="Times New Roman;serif" w:hAnsi="Times New Roman;serif"/>
          <w:b/>
          <w:color w:val="000000"/>
          <w:sz w:val="20"/>
        </w:rPr>
        <w:t>ACCRUED EXPENSES AND OTHER CURRENT LIABILITIES</w:t>
      </w:r>
    </w:p>
    <w:p>
      <w:pPr>
        <w:pStyle w:val="TextBody"/>
        <w:bidi w:val="0"/>
        <w:spacing w:before="0" w:after="0"/>
        <w:jc w:val="left"/>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represent management’s best estimates of liabilities incurred that are expected to be settled in the normal course of business within twelve months. Actual amounts paid may differ from estimated accruals due to timing of invoice receipt, final contractual terms, or changes in service usage. Differences between accrued amounts and actual payments are recognized in the period in which such information becomes available.</w:t>
      </w:r>
    </w:p>
    <w:p>
      <w:pPr>
        <w:pStyle w:val="TextBody"/>
        <w:bidi w:val="0"/>
        <w:spacing w:before="0" w:after="0"/>
        <w:jc w:val="left"/>
        <w:rPr/>
      </w:pPr>
      <w:r>
        <w:rPr/>
      </w:r>
    </w:p>
    <w:p>
      <w:pPr>
        <w:pStyle w:val="TextBody"/>
        <w:bidi w:val="0"/>
        <w:spacing w:lineRule="auto" w:line="333" w:before="120" w:after="120"/>
        <w:jc w:val="left"/>
        <w:rPr/>
      </w:pPr>
      <w:r>
        <w:rPr>
          <w:rFonts w:ascii="Times New Roman;serif" w:hAnsi="Times New Roman;serif"/>
          <w:b w:val="false"/>
          <w:color w:val="000000"/>
          <w:sz w:val="20"/>
        </w:rPr>
        <w:t>Accrued expenses and other current liabilities consisted of the following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7825" w:type="dxa"/>
        <w:jc w:val="left"/>
        <w:tblInd w:w="0" w:type="dxa"/>
        <w:tblLayout w:type="fixed"/>
        <w:tblCellMar>
          <w:top w:w="28" w:type="dxa"/>
          <w:left w:w="28" w:type="dxa"/>
          <w:bottom w:w="28" w:type="dxa"/>
          <w:right w:w="28" w:type="dxa"/>
        </w:tblCellMar>
      </w:tblPr>
      <w:tblGrid>
        <w:gridCol w:w="1612"/>
        <w:gridCol w:w="1420"/>
        <w:gridCol w:w="1423"/>
        <w:gridCol w:w="424"/>
        <w:gridCol w:w="424"/>
        <w:gridCol w:w="426"/>
        <w:gridCol w:w="109"/>
        <w:gridCol w:w="109"/>
        <w:gridCol w:w="109"/>
        <w:gridCol w:w="517"/>
        <w:gridCol w:w="517"/>
        <w:gridCol w:w="735"/>
      </w:tblGrid>
      <w:tr>
        <w:trPr/>
        <w:tc>
          <w:tcPr>
            <w:tcW w:w="1612"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12" w:before="33" w:after="30"/>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33" w:after="30"/>
              <w:jc w:val="right"/>
              <w:rPr>
                <w:rFonts w:ascii="Times New Roman;serif" w:hAnsi="Times New Roman;serif"/>
                <w:b w:val="false"/>
                <w:color w:val="000000"/>
                <w:sz w:val="20"/>
              </w:rPr>
            </w:pPr>
            <w:r>
              <w:rPr>
                <w:rFonts w:ascii="Times New Roman;serif" w:hAnsi="Times New Roman;serif"/>
                <w:b w:val="false"/>
                <w:color w:val="000000"/>
                <w:sz w:val="20"/>
              </w:rPr>
              <w:t>$    1,617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33" w:after="30"/>
              <w:jc w:val="right"/>
              <w:rPr>
                <w:rFonts w:ascii="Times New Roman;serif" w:hAnsi="Times New Roman;serif"/>
                <w:b w:val="false"/>
                <w:color w:val="000000"/>
                <w:sz w:val="20"/>
              </w:rPr>
            </w:pPr>
            <w:r>
              <w:rPr>
                <w:rFonts w:ascii="Times New Roman;serif" w:hAnsi="Times New Roman;serif"/>
                <w:b w:val="false"/>
                <w:color w:val="000000"/>
                <w:sz w:val="20"/>
              </w:rPr>
              <w:t>$    1,174    </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20"/>
              </w:rPr>
            </w:pPr>
            <w:r>
              <w:rPr>
                <w:rFonts w:ascii="Times New Roman;serif" w:hAnsi="Times New Roman;serif"/>
                <w:b w:val="false"/>
                <w:color w:val="000000"/>
                <w:sz w:val="20"/>
              </w:rPr>
              <w:t>Issuance costs</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16,800    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827    </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20"/>
              </w:rPr>
            </w:pPr>
            <w:r>
              <w:rPr>
                <w:rFonts w:ascii="Times New Roman;serif" w:hAnsi="Times New Roman;serif"/>
                <w:b w:val="false"/>
                <w:color w:val="000000"/>
                <w:sz w:val="20"/>
              </w:rPr>
              <w:t>Taxes payable</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511    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662    </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20"/>
              </w:rPr>
            </w:pPr>
            <w:r>
              <w:rPr>
                <w:rFonts w:ascii="Times New Roman;serif" w:hAnsi="Times New Roman;serif"/>
                <w:b w:val="false"/>
                <w:color w:val="000000"/>
                <w:sz w:val="20"/>
              </w:rPr>
              <w:t>Payable to former hosting partner</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5,115    </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20"/>
              </w:rPr>
            </w:pPr>
            <w:r>
              <w:rPr>
                <w:rFonts w:ascii="Times New Roman;serif" w:hAnsi="Times New Roman;serif"/>
                <w:b w:val="false"/>
                <w:color w:val="000000"/>
                <w:sz w:val="20"/>
              </w:rPr>
              <w:t>Accrued costs to decommission owned site</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3,384    </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20"/>
              </w:rPr>
            </w:pPr>
            <w:r>
              <w:rPr>
                <w:rFonts w:ascii="Times New Roman;serif" w:hAnsi="Times New Roman;serif"/>
                <w:b w:val="false"/>
                <w:color w:val="000000"/>
                <w:sz w:val="20"/>
              </w:rPr>
              <w:t>Accrued wages</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1,348    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96    </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20"/>
              </w:rPr>
            </w:pPr>
            <w:r>
              <w:rPr>
                <w:rFonts w:ascii="Times New Roman;serif" w:hAnsi="Times New Roman;serif"/>
                <w:b w:val="false"/>
                <w:color w:val="000000"/>
                <w:sz w:val="20"/>
              </w:rPr>
              <w:t>Initial direct leasing costs payable</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2,500    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5,000    </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2,391    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2,901    </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12" w:before="33" w:after="30"/>
              <w:jc w:val="left"/>
              <w:rPr>
                <w:rFonts w:ascii="Times New Roman;serif" w:hAnsi="Times New Roman;serif"/>
                <w:b/>
                <w:color w:val="000000"/>
                <w:sz w:val="20"/>
              </w:rPr>
            </w:pPr>
            <w:r>
              <w:rPr>
                <w:rFonts w:ascii="Times New Roman;serif" w:hAnsi="Times New Roman;serif"/>
                <w:b/>
                <w:color w:val="000000"/>
                <w:sz w:val="20"/>
              </w:rPr>
              <w:t>Total accrued expenses and other current liabilities</w:t>
            </w:r>
          </w:p>
        </w:tc>
        <w:tc>
          <w:tcPr>
            <w:tcW w:w="127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33" w:after="30"/>
              <w:jc w:val="right"/>
              <w:rPr>
                <w:rFonts w:ascii="Times New Roman;serif" w:hAnsi="Times New Roman;serif"/>
                <w:b/>
                <w:color w:val="000000"/>
                <w:sz w:val="20"/>
              </w:rPr>
            </w:pPr>
            <w:r>
              <w:rPr>
                <w:rFonts w:ascii="Times New Roman;serif" w:hAnsi="Times New Roman;serif"/>
                <w:b/>
                <w:color w:val="000000"/>
                <w:sz w:val="20"/>
              </w:rPr>
              <w:t>$    25,167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2" w:before="33" w:after="30"/>
              <w:jc w:val="right"/>
              <w:rPr>
                <w:rFonts w:ascii="Times New Roman;serif" w:hAnsi="Times New Roman;serif"/>
                <w:b/>
                <w:color w:val="000000"/>
                <w:sz w:val="20"/>
              </w:rPr>
            </w:pPr>
            <w:r>
              <w:rPr>
                <w:rFonts w:ascii="Times New Roman;serif" w:hAnsi="Times New Roman;serif"/>
                <w:b/>
                <w:color w:val="000000"/>
                <w:sz w:val="20"/>
              </w:rPr>
              <w:t>$    19,159    </w:t>
            </w:r>
          </w:p>
        </w:tc>
      </w:tr>
    </w:tbl>
    <w:p>
      <w:pPr>
        <w:pStyle w:val="TextBody"/>
        <w:bidi w:val="0"/>
        <w:spacing w:before="0" w:after="283"/>
        <w:jc w:val="left"/>
        <w:rPr/>
      </w:pPr>
      <w:r>
        <w:rPr/>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ind w:left="0" w:right="0" w:hanging="1080"/>
        <w:jc w:val="left"/>
        <w:rPr/>
      </w:pPr>
      <w:r>
        <w:rPr>
          <w:rFonts w:ascii="Times New Roman;serif" w:hAnsi="Times New Roman;serif"/>
          <w:b/>
          <w:color w:val="000000"/>
          <w:sz w:val="20"/>
        </w:rPr>
        <w:t>NOTE 10.</w:t>
      </w:r>
      <w:r>
        <w:rPr>
          <w:color w:val="000000"/>
        </w:rPr>
        <w:t xml:space="preserve"> </w:t>
      </w:r>
      <w:r>
        <w:rPr>
          <w:rFonts w:ascii="Times New Roman;serif" w:hAnsi="Times New Roman;serif"/>
          <w:b/>
          <w:color w:val="000000"/>
          <w:sz w:val="20"/>
        </w:rPr>
        <w:t>GOODWILL</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Goodwill represents the cost of a business acquisition in excess of the fair value of the net assets acquired. The Company reviews its goodwill for impairment annually or whenever events or circumstances indicate that the carrying amount of the asset exceeds its fair value and may not be recoverable. These indicators may include, but are not limited to, a significant adverse change in the regulatory or business climate, a significant increase in expected future development costs, or a tenant default on the lease contract.</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first half of 2025, the Company performed a qualitative assessment of relevant events and circumstances, considering, among other factors, macroeconomic conditions, industry and market considerations, and the Company’s overall financial position. Based on the assessments performed at June 30, 2025 and March 31, 2025, the Company determined that it is not more likely than not that the fair value of its single cryptocurrency mining reporting unit was less than its carrying amount, and therefore a quantitative impairment test was not required at that time. No impairment charges related to goodwill were recognized during the three and six months ended June 30, 2026 and 2025. Since inception, Ionic has recognized $68.2 million in goodwill impairment related to the cryptocurrency mining reporting unit.</w:t>
      </w:r>
    </w:p>
    <w:p>
      <w:pPr>
        <w:pStyle w:val="TextBody"/>
        <w:bidi w:val="0"/>
        <w:spacing w:lineRule="auto" w:line="333" w:before="120" w:after="120"/>
        <w:jc w:val="both"/>
        <w:rPr/>
      </w:pPr>
      <w:r>
        <w:rPr>
          <w:rFonts w:ascii="Times New Roman;serif" w:hAnsi="Times New Roman;serif"/>
          <w:b w:val="false"/>
          <w:color w:val="000000"/>
          <w:sz w:val="20"/>
        </w:rPr>
        <w:t>The following table shows the Company’s activity in goodwill, by reporting unit, for the current year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9111" w:type="dxa"/>
        <w:jc w:val="left"/>
        <w:tblInd w:w="0" w:type="dxa"/>
        <w:tblLayout w:type="fixed"/>
        <w:tblCellMar>
          <w:top w:w="28" w:type="dxa"/>
          <w:left w:w="28" w:type="dxa"/>
          <w:bottom w:w="28" w:type="dxa"/>
          <w:right w:w="28" w:type="dxa"/>
        </w:tblCellMar>
      </w:tblPr>
      <w:tblGrid>
        <w:gridCol w:w="1053"/>
        <w:gridCol w:w="926"/>
        <w:gridCol w:w="930"/>
        <w:gridCol w:w="709"/>
        <w:gridCol w:w="709"/>
        <w:gridCol w:w="711"/>
        <w:gridCol w:w="109"/>
        <w:gridCol w:w="109"/>
        <w:gridCol w:w="109"/>
        <w:gridCol w:w="659"/>
        <w:gridCol w:w="659"/>
        <w:gridCol w:w="661"/>
        <w:gridCol w:w="109"/>
        <w:gridCol w:w="109"/>
        <w:gridCol w:w="109"/>
        <w:gridCol w:w="421"/>
        <w:gridCol w:w="421"/>
        <w:gridCol w:w="598"/>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312" w:before="53" w:after="30"/>
              <w:jc w:val="center"/>
              <w:rPr>
                <w:rFonts w:ascii="Times New Roman;serif" w:hAnsi="Times New Roman;serif"/>
                <w:b/>
                <w:color w:val="000000"/>
                <w:sz w:val="20"/>
              </w:rPr>
            </w:pPr>
            <w:r>
              <w:rPr>
                <w:rFonts w:ascii="Times New Roman;serif" w:hAnsi="Times New Roman;serif"/>
                <w:b/>
                <w:color w:val="000000"/>
                <w:sz w:val="20"/>
              </w:rPr>
              <w:t>Cryptocurrency Mining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312" w:before="53" w:after="30"/>
              <w:jc w:val="center"/>
              <w:rPr>
                <w:rFonts w:ascii="Times New Roman;serif" w:hAnsi="Times New Roman;serif"/>
                <w:b/>
                <w:color w:val="000000"/>
                <w:sz w:val="20"/>
              </w:rPr>
            </w:pPr>
            <w:r>
              <w:rPr>
                <w:rFonts w:ascii="Times New Roman;serif" w:hAnsi="Times New Roman;serif"/>
                <w:b/>
                <w:color w:val="000000"/>
                <w:sz w:val="20"/>
              </w:rPr>
              <w:t xml:space="preserve">Digital Infrastructure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Goodwill</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312" w:before="33" w:after="30"/>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2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33" w:after="30"/>
              <w:jc w:val="right"/>
              <w:rPr>
                <w:rFonts w:ascii="Times New Roman;serif" w:hAnsi="Times New Roman;serif"/>
                <w:b w:val="false"/>
                <w:color w:val="000000"/>
                <w:sz w:val="20"/>
              </w:rPr>
            </w:pPr>
            <w:r>
              <w:rPr>
                <w:rFonts w:ascii="Times New Roman;serif" w:hAnsi="Times New Roman;serif"/>
                <w:b w:val="false"/>
                <w:color w:val="000000"/>
                <w:sz w:val="20"/>
              </w:rPr>
              <w:t>$    161,608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33" w:after="30"/>
              <w:jc w:val="right"/>
              <w:rPr>
                <w:rFonts w:ascii="Times New Roman;serif" w:hAnsi="Times New Roman;serif"/>
                <w:b w:val="false"/>
                <w:color w:val="000000"/>
                <w:sz w:val="20"/>
              </w:rPr>
            </w:pPr>
            <w:r>
              <w:rPr>
                <w:rFonts w:ascii="Times New Roman;serif" w:hAnsi="Times New Roman;serif"/>
                <w:b w:val="false"/>
                <w:color w:val="000000"/>
                <w:sz w:val="20"/>
              </w:rPr>
              <w:t>$    161,608    </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    </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312" w:before="33" w:after="30"/>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1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33" w:after="30"/>
              <w:jc w:val="right"/>
              <w:rPr>
                <w:rFonts w:ascii="Times New Roman;serif" w:hAnsi="Times New Roman;serif"/>
                <w:b/>
                <w:color w:val="000000"/>
                <w:sz w:val="20"/>
              </w:rPr>
            </w:pPr>
            <w:r>
              <w:rPr>
                <w:rFonts w:ascii="Times New Roman;serif" w:hAnsi="Times New Roman;serif"/>
                <w:b/>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33" w:after="30"/>
              <w:jc w:val="right"/>
              <w:rPr>
                <w:rFonts w:ascii="Times New Roman;serif" w:hAnsi="Times New Roman;serif"/>
                <w:b/>
                <w:color w:val="000000"/>
                <w:sz w:val="20"/>
              </w:rPr>
            </w:pPr>
            <w:r>
              <w:rPr>
                <w:rFonts w:ascii="Times New Roman;serif" w:hAnsi="Times New Roman;serif"/>
                <w:b/>
                <w:color w:val="000000"/>
                <w:sz w:val="20"/>
              </w:rPr>
              <w:t>$    161,608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33" w:after="30"/>
              <w:jc w:val="right"/>
              <w:rPr>
                <w:rFonts w:ascii="Times New Roman;serif" w:hAnsi="Times New Roman;serif"/>
                <w:b/>
                <w:color w:val="000000"/>
                <w:sz w:val="20"/>
              </w:rPr>
            </w:pPr>
            <w:r>
              <w:rPr>
                <w:rFonts w:ascii="Times New Roman;serif" w:hAnsi="Times New Roman;serif"/>
                <w:b/>
                <w:color w:val="000000"/>
                <w:sz w:val="20"/>
              </w:rPr>
              <w:t>$    161,608    </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ind w:left="0" w:right="0" w:hanging="1080"/>
        <w:jc w:val="left"/>
        <w:rPr>
          <w:rFonts w:ascii="Times New Roman;serif" w:hAnsi="Times New Roman;serif"/>
          <w:b/>
          <w:color w:val="000000"/>
          <w:sz w:val="20"/>
        </w:rPr>
      </w:pPr>
      <w:r>
        <w:rPr>
          <w:rFonts w:ascii="Times New Roman;serif" w:hAnsi="Times New Roman;serif"/>
          <w:b/>
          <w:color w:val="000000"/>
          <w:sz w:val="20"/>
        </w:rPr>
        <w:t>NOTE 11. STOCK-BASED COMPENSATION</w:t>
      </w:r>
    </w:p>
    <w:p>
      <w:pPr>
        <w:pStyle w:val="TextBody"/>
        <w:bidi w:val="0"/>
        <w:spacing w:lineRule="auto" w:line="333" w:before="120" w:after="120"/>
        <w:jc w:val="both"/>
        <w:rPr/>
      </w:pPr>
      <w:r>
        <w:rPr>
          <w:rFonts w:ascii="Times New Roman;serif" w:hAnsi="Times New Roman;serif"/>
          <w:b w:val="false"/>
          <w:color w:val="000000"/>
          <w:sz w:val="20"/>
        </w:rPr>
        <w:t>On January 31, 2024, the Company adopted the Ionic Digital Inc. Omnibus Incentive Plan (the “Omnibus Plan”), pursuant to which it may grant equity and equity-based incentive awards (including non-statutory and incentive stock options, stock appreciation rights, restricted stocks, restricted stock units, performance awards, other stock-based awards and cash awards) to eligible employees, consultants, individual contractors and other service providers. The number of shares of Common Stock available under the plan is initially limited to 4,317,960 shares. The share limit automatically increases by 4% on all shares outstanding on January 1 of each calendar year beginning in 2025, unless a smaller number of shares is determined by the Board of Directors. As of June 30, 2026, the Company has reserved approximately 5,551,944 shares (subject to an evergreen) for future awards under the Omnibus Plan</w:t>
      </w:r>
      <w:r>
        <w:rPr>
          <w:rFonts w:ascii="Times New Roman;serif" w:hAnsi="Times New Roman;serif"/>
          <w:b w:val="false"/>
          <w:i/>
          <w:color w:val="000000"/>
          <w:sz w:val="20"/>
        </w:rPr>
        <w:t>.</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 xml:space="preserve">Restricted Stock Units </w:t>
      </w:r>
    </w:p>
    <w:p>
      <w:pPr>
        <w:pStyle w:val="TextBody"/>
        <w:bidi w:val="0"/>
        <w:spacing w:lineRule="auto" w:line="333"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granted stock-based awards in the form of RSUs under the Omnibus Plan, which vest over a five-year period in equal installments, with one-fifth vesting on each of the first five anniversaries of the grant. These awards are classified as equity awards and are measured at fair value on the grant date. Compensation cost related to the RSUs is recognized on a straight-line basis over the applicable service periods and is recorded within general and administrative expenses, with a corresponding increase to additional paid-in-capital.</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RSU activity:</w:t>
      </w:r>
    </w:p>
    <w:tbl>
      <w:tblPr>
        <w:tblW w:w="6595" w:type="dxa"/>
        <w:jc w:val="left"/>
        <w:tblInd w:w="0" w:type="dxa"/>
        <w:tblLayout w:type="fixed"/>
        <w:tblCellMar>
          <w:top w:w="28" w:type="dxa"/>
          <w:left w:w="28" w:type="dxa"/>
          <w:bottom w:w="28" w:type="dxa"/>
          <w:right w:w="28" w:type="dxa"/>
        </w:tblCellMar>
      </w:tblPr>
      <w:tblGrid>
        <w:gridCol w:w="852"/>
        <w:gridCol w:w="749"/>
        <w:gridCol w:w="754"/>
        <w:gridCol w:w="539"/>
        <w:gridCol w:w="539"/>
        <w:gridCol w:w="541"/>
        <w:gridCol w:w="109"/>
        <w:gridCol w:w="109"/>
        <w:gridCol w:w="109"/>
        <w:gridCol w:w="672"/>
        <w:gridCol w:w="672"/>
        <w:gridCol w:w="950"/>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20"/>
              </w:rPr>
            </w:pPr>
            <w:r>
              <w:rPr>
                <w:rFonts w:ascii="Times New Roman;serif" w:hAnsi="Times New Roman;serif"/>
                <w:b/>
                <w:color w:val="000000"/>
                <w:sz w:val="20"/>
              </w:rPr>
              <w:t>Weighted-Average Grant</w:t>
            </w:r>
          </w:p>
          <w:p>
            <w:pPr>
              <w:pStyle w:val="TableContents"/>
              <w:bidi w:val="0"/>
              <w:spacing w:lineRule="auto" w:line="240" w:before="0" w:after="30"/>
              <w:jc w:val="center"/>
              <w:rPr>
                <w:rFonts w:ascii="Times New Roman;serif" w:hAnsi="Times New Roman;serif"/>
                <w:b/>
                <w:color w:val="000000"/>
                <w:sz w:val="20"/>
              </w:rPr>
            </w:pPr>
            <w:r>
              <w:rPr>
                <w:rFonts w:ascii="Times New Roman;serif" w:hAnsi="Times New Roman;serif"/>
                <w:b/>
                <w:color w:val="000000"/>
                <w:sz w:val="20"/>
              </w:rPr>
              <w:t>Date Fair Value</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Unvested, January 1, 2026</w:t>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color w:val="000000"/>
              </w:rPr>
            </w:pPr>
            <w:r>
              <w:rPr>
                <w:color w:val="000000"/>
              </w:rPr>
              <w:t>    </w:t>
            </w:r>
            <w:r>
              <w:rPr>
                <w:rFonts w:ascii="Times New Roman;serif" w:hAnsi="Times New Roman;serif"/>
                <w:b w:val="false"/>
                <w:color w:val="000000"/>
                <w:sz w:val="20"/>
              </w:rPr>
              <w:t>411,125    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35.34</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196,052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35.21</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Unvested, June 30, 2026</w:t>
            </w:r>
          </w:p>
        </w:tc>
        <w:tc>
          <w:tcPr>
            <w:tcW w:w="10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607,177</w:t>
            </w:r>
            <w:r>
              <w:rPr>
                <w:color w:val="000000"/>
              </w:rPr>
              <w:t> </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35.30</w:t>
            </w:r>
          </w:p>
        </w:tc>
      </w:tr>
    </w:tbl>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fair value of RSUs granted during the six months ended June 30, 2026 was determined using the fair value of the Company’s common stock on the grant date. The market value per common share was adjusted using a discount for lack of marketability calculated using a weighted average expected term of 3.0 years, a weighted average expected volatility of 95.8%, and a dividend yield of 0.0%.</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Performance Restricted Stock Units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also granted equity-based awards under the Omnibus Plan in the form of performance restricted stock units (“PRSUs”). These awards are classified as equity awards and vest upon the achievement of a service condition of six months of continuous employment after achievement of market conditions established by the Compensation Committee of the Board as of the grant date, which is based on the achievement of certain market capitalization goals. The number of shares earned total one-third of the total awards granted based on achievement of the performance condition. The fair value of these PRSUs was determined using a Monte Carlo simulation incorporating the grant-date market value per common share. The resulting fair values were then adjusted using a discount for lack of marketability that considered a weighted average expected term of 1.2 years, a weighted average expected volatility of 89.5%, and a dividend yield of 0.0%. Compensation expense for these PRSUs is recognized based on the probable outcome of the performance condition with a cumulative catch-up adjustment for prior periods in the period that the probable outcome changes.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PRSU activity:</w:t>
      </w:r>
    </w:p>
    <w:tbl>
      <w:tblPr>
        <w:tblW w:w="6595" w:type="dxa"/>
        <w:jc w:val="left"/>
        <w:tblInd w:w="0" w:type="dxa"/>
        <w:tblLayout w:type="fixed"/>
        <w:tblCellMar>
          <w:top w:w="28" w:type="dxa"/>
          <w:left w:w="28" w:type="dxa"/>
          <w:bottom w:w="28" w:type="dxa"/>
          <w:right w:w="28" w:type="dxa"/>
        </w:tblCellMar>
      </w:tblPr>
      <w:tblGrid>
        <w:gridCol w:w="852"/>
        <w:gridCol w:w="749"/>
        <w:gridCol w:w="754"/>
        <w:gridCol w:w="539"/>
        <w:gridCol w:w="539"/>
        <w:gridCol w:w="541"/>
        <w:gridCol w:w="109"/>
        <w:gridCol w:w="109"/>
        <w:gridCol w:w="109"/>
        <w:gridCol w:w="672"/>
        <w:gridCol w:w="672"/>
        <w:gridCol w:w="950"/>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20"/>
              </w:rPr>
            </w:pPr>
            <w:r>
              <w:rPr>
                <w:rFonts w:ascii="Times New Roman;serif" w:hAnsi="Times New Roman;serif"/>
                <w:b/>
                <w:color w:val="000000"/>
                <w:sz w:val="20"/>
              </w:rPr>
              <w:t>Weighted-Average Grant</w:t>
            </w:r>
          </w:p>
          <w:p>
            <w:pPr>
              <w:pStyle w:val="TableContents"/>
              <w:bidi w:val="0"/>
              <w:spacing w:lineRule="auto" w:line="240" w:before="0" w:after="30"/>
              <w:jc w:val="center"/>
              <w:rPr>
                <w:rFonts w:ascii="Times New Roman;serif" w:hAnsi="Times New Roman;serif"/>
                <w:b/>
                <w:color w:val="000000"/>
                <w:sz w:val="20"/>
              </w:rPr>
            </w:pPr>
            <w:r>
              <w:rPr>
                <w:rFonts w:ascii="Times New Roman;serif" w:hAnsi="Times New Roman;serif"/>
                <w:b/>
                <w:color w:val="000000"/>
                <w:sz w:val="20"/>
              </w:rPr>
              <w:t>Date Fair Value</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Unvested, January 1, 2026</w:t>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560,625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34.50</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588,156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36.35</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Unvested, June 30, 2026</w:t>
            </w:r>
          </w:p>
        </w:tc>
        <w:tc>
          <w:tcPr>
            <w:tcW w:w="10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1,148,781</w:t>
            </w:r>
            <w:r>
              <w:rPr>
                <w:color w:val="000000"/>
              </w:rPr>
              <w:t> </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35.45</w:t>
            </w:r>
          </w:p>
        </w:tc>
      </w:tr>
    </w:tbl>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Total stock-based compensation expense for three and six months ended June 30, 2026 was $9.0 million and $15.4 million, respectively. There was no stock-based compensation expense for the three and six months ended June 30, 2025. Unrecognized stock-based compensation expense was $43.3 million as of June 30, 2026 with a remaining weighted average vesting period of 1.3 years. </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20"/>
        <w:jc w:val="both"/>
        <w:rPr/>
      </w:pPr>
      <w:r>
        <w:rPr/>
      </w:r>
    </w:p>
    <w:p>
      <w:pPr>
        <w:pStyle w:val="TextBody"/>
        <w:bidi w:val="0"/>
        <w:spacing w:lineRule="auto" w:line="333" w:before="0" w:after="120"/>
        <w:ind w:left="0" w:right="0" w:hanging="1080"/>
        <w:jc w:val="left"/>
        <w:rPr>
          <w:rFonts w:ascii="Times New Roman;serif" w:hAnsi="Times New Roman;serif"/>
          <w:b/>
          <w:color w:val="000000"/>
          <w:sz w:val="20"/>
        </w:rPr>
      </w:pPr>
      <w:r>
        <w:rPr>
          <w:rFonts w:ascii="Times New Roman;serif" w:hAnsi="Times New Roman;serif"/>
          <w:b/>
          <w:color w:val="000000"/>
          <w:sz w:val="20"/>
        </w:rPr>
        <w:t>NOTE 12. EARNINGS PER SHARE</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Series A Preferred Stock is considered a participating security because it has the right to participate in dividends. Accordingly, the Company applies the two-class method to compute basic and diluted earnings (loss) per share. Under the two-class method, net income is allocated between common stockholders and participating securities based on their respective rights to receive dividends. Net losses are not allocated to the Series A Preferred Stock, as holders do not have a contractual obligation to share in losses. Diluted earnings per share is computed similarly except the weighted average shares outstanding are increased to include the assumed exercise of any common stock equivalents using the treasury stock method, if dilutive.</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potentially dilutive equity instruments are primarily instruments in the form of convertible Preferred Stock, warrants, RSUs and PRSUs. As of June 30, 2026, outstanding shares of warrants, preferred stock, performance restricted stock units and restricted stock units in aggregate of 12,321,982 have been excluded from the calculation of diluted earnings per share as such securities were anti-dilutive. There were no potentially dilutive equity instruments as of June 30, 2025.</w:t>
      </w:r>
    </w:p>
    <w:p>
      <w:pPr>
        <w:pStyle w:val="TextBody"/>
        <w:bidi w:val="0"/>
        <w:spacing w:lineRule="auto" w:line="333" w:before="120" w:after="120"/>
        <w:jc w:val="both"/>
        <w:rPr/>
      </w:pPr>
      <w:r>
        <w:rPr>
          <w:rFonts w:ascii="Times New Roman;serif" w:hAnsi="Times New Roman;serif"/>
          <w:b w:val="false"/>
          <w:color w:val="000000"/>
          <w:sz w:val="20"/>
        </w:rPr>
        <w:t>The following table summarizes the calculation of the Company’s basic earnings per share of Common stock (</w:t>
      </w:r>
      <w:r>
        <w:rPr>
          <w:rFonts w:ascii="Times New Roman;serif" w:hAnsi="Times New Roman;serif"/>
          <w:b w:val="false"/>
          <w:i/>
          <w:color w:val="000000"/>
          <w:sz w:val="20"/>
        </w:rPr>
        <w:t>in thousands, except share and per share data</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365"/>
        <w:gridCol w:w="889"/>
        <w:gridCol w:w="886"/>
        <w:gridCol w:w="531"/>
        <w:gridCol w:w="531"/>
        <w:gridCol w:w="329"/>
        <w:gridCol w:w="208"/>
        <w:gridCol w:w="208"/>
        <w:gridCol w:w="208"/>
        <w:gridCol w:w="564"/>
        <w:gridCol w:w="564"/>
        <w:gridCol w:w="299"/>
        <w:gridCol w:w="109"/>
        <w:gridCol w:w="109"/>
        <w:gridCol w:w="109"/>
        <w:gridCol w:w="531"/>
        <w:gridCol w:w="531"/>
        <w:gridCol w:w="329"/>
        <w:gridCol w:w="146"/>
        <w:gridCol w:w="146"/>
        <w:gridCol w:w="146"/>
        <w:gridCol w:w="565"/>
        <w:gridCol w:w="461"/>
        <w:gridCol w:w="441"/>
      </w:tblGrid>
      <w:tr>
        <w:trPr/>
        <w:tc>
          <w:tcPr>
            <w:tcW w:w="136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3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Numerator</w:t>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(35,305)</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31,914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(48,289)</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467"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3,883</w:t>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Denominator</w:t>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Weighted-average Common stock outstanding, basic</w:t>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37,374,261</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37,374,261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37,374,261</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37,374,261</w:t>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share, Common Stock</w:t>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color w:val="000000"/>
                <w:sz w:val="20"/>
              </w:rPr>
            </w:pPr>
            <w:r>
              <w:rPr>
                <w:rFonts w:ascii="Times New Roman;serif" w:hAnsi="Times New Roman;serif"/>
                <w:b/>
                <w:color w:val="000000"/>
                <w:sz w:val="20"/>
              </w:rPr>
              <w:t>$    (0.94)</w:t>
            </w:r>
          </w:p>
        </w:tc>
        <w:tc>
          <w:tcPr>
            <w:tcW w:w="624"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color w:val="000000"/>
                <w:sz w:val="20"/>
              </w:rPr>
            </w:pPr>
            <w:r>
              <w:rPr>
                <w:rFonts w:ascii="Times New Roman;serif" w:hAnsi="Times New Roman;serif"/>
                <w:b/>
                <w:color w:val="000000"/>
                <w:sz w:val="20"/>
              </w:rPr>
              <w:t>$    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color w:val="000000"/>
                <w:sz w:val="20"/>
              </w:rPr>
            </w:pPr>
            <w:r>
              <w:rPr>
                <w:rFonts w:ascii="Times New Roman;serif" w:hAnsi="Times New Roman;serif"/>
                <w:b/>
                <w:color w:val="000000"/>
                <w:sz w:val="20"/>
              </w:rPr>
              <w:t>$    (1.29)</w:t>
            </w:r>
          </w:p>
        </w:tc>
        <w:tc>
          <w:tcPr>
            <w:tcW w:w="438"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color w:val="000000"/>
                <w:sz w:val="20"/>
              </w:rPr>
            </w:pPr>
            <w:r>
              <w:rPr>
                <w:rFonts w:ascii="Times New Roman;serif" w:hAnsi="Times New Roman;serif"/>
                <w:b/>
                <w:color w:val="000000"/>
                <w:sz w:val="20"/>
              </w:rPr>
              <w:t>$    0.10</w:t>
            </w:r>
          </w:p>
        </w:tc>
      </w:tr>
    </w:tbl>
    <w:p>
      <w:pPr>
        <w:pStyle w:val="TextBody"/>
        <w:bidi w:val="0"/>
        <w:spacing w:before="120" w:after="240"/>
        <w:jc w:val="left"/>
        <w:rPr/>
      </w:pPr>
      <w:r>
        <w:rPr/>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0" w:after="120"/>
        <w:ind w:left="0" w:right="0" w:hanging="1080"/>
        <w:jc w:val="left"/>
        <w:rPr>
          <w:rFonts w:ascii="Times New Roman;serif" w:hAnsi="Times New Roman;serif"/>
          <w:b/>
          <w:color w:val="000000"/>
          <w:sz w:val="20"/>
        </w:rPr>
      </w:pPr>
      <w:r>
        <w:rPr>
          <w:rFonts w:ascii="Times New Roman;serif" w:hAnsi="Times New Roman;serif"/>
          <w:b/>
          <w:color w:val="000000"/>
          <w:sz w:val="20"/>
        </w:rPr>
        <w:t>NOTE 13. STOCKHOLDERS' EQUITY</w:t>
      </w:r>
    </w:p>
    <w:p>
      <w:pPr>
        <w:pStyle w:val="TextBody"/>
        <w:bidi w:val="0"/>
        <w:spacing w:lineRule="auto" w:line="333" w:before="120" w:after="120"/>
        <w:jc w:val="both"/>
        <w:rPr>
          <w:rFonts w:ascii="Times New Roman;serif" w:hAnsi="Times New Roman;serif"/>
          <w:b w:val="false"/>
          <w:i/>
          <w:color w:val="000000"/>
          <w:sz w:val="20"/>
        </w:rPr>
      </w:pPr>
      <w:r>
        <w:rPr>
          <w:rFonts w:ascii="Times New Roman;serif" w:hAnsi="Times New Roman;serif"/>
          <w:b w:val="false"/>
          <w:i/>
          <w:color w:val="000000"/>
          <w:sz w:val="20"/>
        </w:rPr>
        <w:t>Private Placement</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On June 26, 2026, we entered into a private placement transaction (the “Private Placement”) pursuant to securities purchase agreements (the “Securities Purchase Agreements”), to sell an aggregate of (i) 7,547,166 shares of Series A convertible preferred stock, par value $0.00001 per share (the “Series A Preferred Stock”), at a price of $53.00 per share (“Stated Value”), (ii) warrants to purchase an aggregate of 1,006,286 shares of Class A common stock at an exercise price of $63.60 per share, (iii) warrants to purchase an aggregate of 1,006,286 shares of Class A common stock at an exercise price of $74.20 per share, and (iv) warrants to purchase an aggregate of 1,006,286 shares of Class A common stock at an exercise price of $87.45 per share (the warrants described in clauses (ii) through (iv), collectively, the “Warrants”) to certain institutional accredited investors (the “Investors”) for an aggregate purchase price of $400.0 million, before an estimated $16.8 million in transaction fees. This transaction closed on June 30, 2026.</w:t>
      </w:r>
    </w:p>
    <w:p>
      <w:pPr>
        <w:pStyle w:val="TextBody"/>
        <w:bidi w:val="0"/>
        <w:spacing w:lineRule="auto" w:line="312" w:before="0" w:after="0"/>
        <w:jc w:val="both"/>
        <w:rPr/>
      </w:pPr>
      <w:r>
        <w:rPr>
          <w:rFonts w:ascii="Times New Roman;serif" w:hAnsi="Times New Roman;serif"/>
          <w:b w:val="false"/>
          <w:color w:val="000000"/>
          <w:sz w:val="20"/>
        </w:rPr>
        <w:t xml:space="preserve">At June 30, 2026, the Series A Preferred Stock was convertible into Class A common stock at the option of the holder and was subject to automatic conversion upon completion of the direct listing or certain other specified liquidity events. The Series A Preferred Stock voted together with the Class A common stock on an as-converted basis, except as otherwise required by law, and was entitled to separate class voting rights with respect to specified protective provisions. If any shares of Series A Preferred Stock remained outstanding as of June 26, 2028, each share would have been convertible at the holder’s option at a maturity conversion rate based on the greater of the Stated Value (as defined in the Certificate of Designation) and $79.50. The Series A Preferred Stock had a mandatory redemption provision, wherein after June 26, 2028, the outstanding shares are redeemed for cash at an amount per share equal to the greater of 100% of the Stated Value or the as-converted liquidation value, subject to a minimum return, taking into account dividends and other payments, of 150% of the Stated Value. In accordance with ASC 480 - </w:t>
      </w:r>
      <w:r>
        <w:rPr>
          <w:rFonts w:ascii="Times New Roman;serif" w:hAnsi="Times New Roman;serif"/>
          <w:b w:val="false"/>
          <w:i/>
          <w:color w:val="000000"/>
          <w:sz w:val="20"/>
        </w:rPr>
        <w:t>Distinguishing Liabilities from Equity</w:t>
      </w:r>
      <w:r>
        <w:rPr>
          <w:rFonts w:ascii="Times New Roman;serif" w:hAnsi="Times New Roman;serif"/>
          <w:b w:val="false"/>
          <w:color w:val="000000"/>
          <w:sz w:val="20"/>
        </w:rPr>
        <w:t>, the Series A Preferred Stock is classified as temporary equity (Mezzanine Equity) outside of permanent stockholders’ equity in the Condensed Consolidated Balance Sheet as of June 30, 2026. Beginning on January 15, 2027 cumulative and preferential cash dividends shall accrue on each share of Series A Preferred Stock at an annual rate of 12%, and are payable quarterly.</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Investors have agreed that, with the exception of 2% of each tranche of the Warrants, they will not transfer or otherwise dispose of the Series A Preferred Stock, the Class A common stock issued upon conversion of the Series A Preferred Stock, the Warrants, or the shares of Class A common stock issuable upon exercise of the Warrants at a price of less than $70.00 per share until six months after our securities are first listed on Nasdaq or another national securities exchange.</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Warrants are classified as liabilities in accordance with ASC 480-10-25-8, as they contain provisions that could require net cash settlement in the event the Company is sold, which is not solely within the Company’s control. The proceeds from the sale were allocated first to Warrants based on their issuance date fair value with the residual to the Series A Preferred Stock. Warrants were allocated $34.1 million and recorded as a liability on the Company’s Condensed Consolidated Balance Sheet as of June 30, 2026. The Preferred Stock was allocated the remaining $365.9 million and recorded as Mezzanine Equity on the Company’s Condensed Consolidated Balance Sheet as of June 30, 2026.</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will remeasure the fair value of the Warrants at the end of each reporting period. Changes in the fair value of the Warrants will be recognized as a gain or loss to earnings. The Company will accrete the Preferred Stock to its redemption amounts once it is determined that redemption is probable. As of June 30, 2026, the Company determined redemption was not probable. </w:t>
      </w:r>
    </w:p>
    <w:p>
      <w:pPr>
        <w:pStyle w:val="TextBody"/>
        <w:bidi w:val="0"/>
        <w:spacing w:lineRule="auto" w:line="333"/>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 costs of $16.8 million were allocated based on the allocation of proceeds with the Series A Preferred Stock being allocated $15.4 million, which was recorded as a reduction to their carrying amount at period end. The Warrants were allocated $1.4 million in transaction costs, which are recorded as an expense and included in General and Administrative expense for the period ended June 30, 2026. </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2026, we also issued 40,000 shares of Series Z Preferred Stock for an aggregate of $0.40 in proceeds. The shares of Series Z Preferred Stock have 1,000 votes per share of Series Z Preferred Stock, but do not have any economic rights with respect to dividends, liquidation or otherwise. The holder of the Series Z Preferred Stock has agreed that it will vote such stock in the same proportion as votes cast by holders of the Class A common stock on any matter submitted to stockholders at our 2026 annual meeting of stockholders. The shares of Series Z Preferred Stock were automatically redeemed for $0.40 in the aggregate following the conclusion of our 2026 annual meeting of stockholders, held on July 13, 2026. The Series Z Preferred Stock was intended to ensure the presence of a quorum to conduct an annual meeting of stockholders within the time period required by Delaware law.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On July 28, 2026, the Company completed its direct listing of the Company’s Class A Common Stock, as a result the Company converted all 7,547,166 shares of Series A Preferred stock to 7,547,166 shares of Class A common stock. In addition, the successful completion of the direct listing triggered a contractual advisory fee of $10.0 million payable by the Company.</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20"/>
        <w:jc w:val="both"/>
        <w:rPr/>
      </w:pPr>
      <w:r>
        <w:rPr/>
      </w:r>
    </w:p>
    <w:p>
      <w:pPr>
        <w:pStyle w:val="TextBody"/>
        <w:bidi w:val="0"/>
        <w:spacing w:lineRule="auto" w:line="333" w:before="0" w:after="240"/>
        <w:ind w:left="0" w:right="0" w:hanging="1080"/>
        <w:jc w:val="left"/>
        <w:rPr/>
      </w:pPr>
      <w:r>
        <w:rPr>
          <w:rFonts w:ascii="Times New Roman;serif" w:hAnsi="Times New Roman;serif"/>
          <w:b/>
          <w:color w:val="000000"/>
          <w:sz w:val="20"/>
        </w:rPr>
        <w:t>NOTE 14.</w:t>
      </w:r>
      <w:r>
        <w:rPr>
          <w:color w:val="000000"/>
        </w:rPr>
        <w:t xml:space="preserve"> </w:t>
      </w:r>
      <w:r>
        <w:rPr>
          <w:rFonts w:ascii="Times New Roman;serif" w:hAnsi="Times New Roman;serif"/>
          <w:b/>
          <w:color w:val="000000"/>
          <w:sz w:val="20"/>
        </w:rPr>
        <w:t>INCOME TAXES</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Income Tax in Interim Periods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records its income tax expense or benefit for interim periods using the actual effective tax rate applicable to the year-to-date results, adjusted for discrete items recognized in the impacted interim period, rather than an estimated annual effective tax rate. This approach differs from prior periods, in which the Company applied an estimated annual effective tax rate in accordance with ASC 740-270. The change was made because the Company determined it can no longer reliably estimate its annual effective tax rate, primarily due to the volatility of bitcoin fair values and the resulting variability in the Company’s deferred tax position, as well as a high degree of uncertainty in estimating annual pre-tax income. ASC 740-270 provides that the actual year-to-date effective tax rate may be used when application of the estimated annual effective tax rate is impractical because a reliable estimate of the annual effective tax rate cannot be made. The Company believes, at this time, the use of the year-to-date actual effective tax rate approach is more appropriate than the estimated annual effective tax rate method.</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the Company recorded income tax expense (including discrete items) of $27.2 million and $10.9 million, respectively. For the three and six months ended June 30, 2025, the Company recorded income tax expense (including discrete items) of $8.8 million and $1.4 million, respectively. </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Effective Tax Rate</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 (including discrete items) was (338.2)% and (29.2)% for the three and six months ended June 30, 2026, respectively, and 21.6% and 26.4% for the three and six months ended June 30, 2025, respectively. The effective tax rate for the three and six months ended June 30, 2026 differed significantly from the U.S. federal statutory rate of 21% primarily due to the valuation allowance recorded against the deferred tax asset associated with unrealized losses on cryptocurrency holdings, as well as non-deductible officer compensation and non-deductible stock issuance costs, which represent permanent differences. These items resulted in the recognition of income tax expense notwithstanding the Company’s pre-tax losses for the periods.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evaluated all available evidence and concluded that it was more likely than not that the benefit associated with its unrealized losses on cryptocurrency may not be realized. Under ASU 2023-08, changes in the fair value of cryptocurrency are recognized through earnings but are not taxable until disposition, at which point the resulting losses would be capital in character and available only to offset capital gains. The Company does not currently anticipate generating capital gains in sufficient amount within the applicable carryforward period to permit realization of the deferred tax asset. The Company accordingly increased its valuation allowance against that deferred tax asset, which represented the most significant valuation allowance movement during the period. The Company also recorded incremental valuation allowance against the deferred tax assets associated with most of its state net operating losses subject to expiration and a portion of its indefinite-lived state net operating losses, consistent with the Company’s recent cumulative loss position and the related limitations on its ability to support future taxable income. The Company’s total valuation allowance was $18.5 million and $1.4 million as of June 30, 2026 and December 31, 2025, respectively. </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Uncertain Tax Positions</w:t>
      </w:r>
    </w:p>
    <w:p>
      <w:pPr>
        <w:pStyle w:val="TextBody"/>
        <w:bidi w:val="0"/>
        <w:spacing w:lineRule="auto" w:line="333"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files federal and state income tax returns. The 2024-2025 tax years generally remain subject to examination by the Internal Revenue Service and various state taxing authorities, although the Company is not currently under examination by any jurisdiction. As of June 30, 2026 and December 31, 2025, the total amount of unrecognized tax benefits was $0.8 million and $0.7 million, respectively. If recognized, these tax benefits would affect the Company’s effective tax rate.</w:t>
      </w:r>
    </w:p>
    <w:p>
      <w:pPr>
        <w:pStyle w:val="TextBody"/>
        <w:bidi w:val="0"/>
        <w:spacing w:lineRule="auto" w:line="33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interest and penalties related to unrecognized tax benefits within the provision for income tax. During the three and six months ended June 30, 2026, the Company recorded an immaterial amount and $0.1 million, respectively, of discrete tax expense, inclusive of interest and penalties. During the three and six months ended June 30, </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2025, the Company recorded discrete tax expense of $0.1 million and $0.3 million, respectively, inclusive of interest and penalties.</w:t>
      </w:r>
    </w:p>
    <w:p>
      <w:pPr>
        <w:pStyle w:val="TextBody"/>
        <w:bidi w:val="0"/>
        <w:spacing w:before="0" w:after="283"/>
        <w:jc w:val="left"/>
        <w:rPr/>
      </w:pPr>
      <w:r>
        <w:rPr/>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ind w:left="0" w:right="0" w:hanging="1080"/>
        <w:jc w:val="left"/>
        <w:rPr/>
      </w:pPr>
      <w:r>
        <w:rPr>
          <w:rFonts w:ascii="Times New Roman;serif" w:hAnsi="Times New Roman;serif"/>
          <w:b/>
          <w:color w:val="000000"/>
          <w:sz w:val="20"/>
        </w:rPr>
        <w:t>NOTE 15.</w:t>
      </w:r>
      <w:r>
        <w:rPr>
          <w:color w:val="000000"/>
        </w:rPr>
        <w:t xml:space="preserve"> </w:t>
      </w:r>
      <w:r>
        <w:rPr>
          <w:rFonts w:ascii="Times New Roman;serif" w:hAnsi="Times New Roman;serif"/>
          <w:b/>
          <w:color w:val="000000"/>
          <w:sz w:val="20"/>
        </w:rPr>
        <w:t>COMMITMENTS AND CONTINGENCIES</w:t>
      </w:r>
    </w:p>
    <w:p>
      <w:pPr>
        <w:pStyle w:val="TextBody"/>
        <w:bidi w:val="0"/>
        <w:spacing w:lineRule="auto" w:line="333"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Commitments – Purchase agreements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In April 2026, the Company entered into a binding agreement to purchase transformers to expand its substation at the Ward County site for approximately $15.0 million. As of June 30, 2026, there was approximately $9.6 million remaining under the commitment. The Company expects to fund the commitment using available cash. Subsequent to June 30, 2026, the Company entered into an additional $14.7 million commitment for construction and materials to modify and expand the same substation, which will also be funded using available cash.</w:t>
      </w:r>
    </w:p>
    <w:p>
      <w:pPr>
        <w:pStyle w:val="TextBody"/>
        <w:bidi w:val="0"/>
        <w:spacing w:lineRule="auto" w:line="333"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Contingencies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subject to legal proceedings arising in the ordinary course of business, including matters involving governmental agencies or regulators, entities with whom we do business, actions by our stockholders and other proceedings, whether arising in the ordinary course of business or otherwise. These actions may seek, among other things, breach of contract, property damage, punitive damages, civil penalties or other losses, or injunctive or declaratory relief. The Company accrues losses for a legal proceeding when it is probable that a loss has been incurred and the amount of the loss can be reasonably estimated. However, the uncertainties inherent in legal proceedings make it difficult to reasonably estimate the costs and effects of resolving these matters. Accordingly, actual costs incurred may differ materially from amounts accrued and could materially adversely affect the Company’s business, cash flows, results of operations, financial condition, and prospects. Unless otherwise indicated, the Company is unable to estimate reasonably possible losses in excess of any amounts accrued.</w:t>
      </w:r>
    </w:p>
    <w:p>
      <w:pPr>
        <w:pStyle w:val="TextBody"/>
        <w:bidi w:val="0"/>
        <w:spacing w:lineRule="auto" w:line="333" w:before="120" w:after="120"/>
        <w:jc w:val="both"/>
        <w:rPr>
          <w:rFonts w:ascii="Times New Roman;serif" w:hAnsi="Times New Roman;serif"/>
          <w:b w:val="false"/>
          <w:i/>
          <w:color w:val="000000"/>
          <w:sz w:val="20"/>
        </w:rPr>
      </w:pPr>
      <w:r>
        <w:rPr>
          <w:rFonts w:ascii="Times New Roman;serif" w:hAnsi="Times New Roman;serif"/>
          <w:b w:val="false"/>
          <w:i/>
          <w:color w:val="000000"/>
          <w:sz w:val="20"/>
        </w:rPr>
        <w:t>Mawson Infrastructure Group</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On February 23, 2022, Celsius Mining entered into a Co-Location Agreement with Luna Squares LLC, a subsidiary of Mawson Infrastructure Group., Inc., a bitcoin miner and public Company listed on the NASDAQ (collectively, “Mawson”), under which Mawson hosted miners owned by Celsius Mining at Mawson’s facility in Midland, Pennsylvania. On August 23, 2023, the agreement expired. Following expiration, Mawson failed to return Celsius Mining’s $15.3 million deposit to Celsius Mining and Celsius Mining failed to pay $5.1 million in Mawson invoices. Celsius Mining initiated an adversary complaint against Mawson in the Bankruptcy Court seeking return of the amounts owed to it under the Co-Location Agreement, to offset the unpaid invoices against the deposit, and other damages suffered by Celsius Mining due to breaches of the contract. In February 2026, the Company entered into a settlement that finalized the Mawson matter and resulted in a $5.1 million payment to the Company.</w:t>
      </w:r>
    </w:p>
    <w:p>
      <w:pPr>
        <w:pStyle w:val="TextBody"/>
        <w:bidi w:val="0"/>
        <w:spacing w:before="0" w:after="240"/>
        <w:jc w:val="both"/>
        <w:rPr/>
      </w:pPr>
      <w:r>
        <w:rPr/>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240"/>
        <w:jc w:val="both"/>
        <w:rPr/>
      </w:pPr>
      <w:r>
        <w:rPr/>
      </w:r>
    </w:p>
    <w:p>
      <w:pPr>
        <w:pStyle w:val="TextBody"/>
        <w:bidi w:val="0"/>
        <w:spacing w:lineRule="auto" w:line="333" w:before="0" w:after="120"/>
        <w:ind w:left="0" w:right="0" w:hanging="1080"/>
        <w:jc w:val="left"/>
        <w:rPr>
          <w:rFonts w:ascii="Times New Roman;serif" w:hAnsi="Times New Roman;serif"/>
          <w:b/>
          <w:color w:val="000000"/>
          <w:sz w:val="20"/>
        </w:rPr>
      </w:pPr>
      <w:r>
        <w:rPr>
          <w:rFonts w:ascii="Times New Roman;serif" w:hAnsi="Times New Roman;serif"/>
          <w:b/>
          <w:color w:val="000000"/>
          <w:sz w:val="20"/>
        </w:rPr>
        <w:t>NOTE 16. BUSINESS SEGMENT DATA</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Selected financial and descriptive information is provided about reportable operating segments, considering a “management approach” concept as the basis for identifying reportable segments. The management approach is based on the way that management organizes the segments within the Company for making operating decisions, allocating resources, and assessing performance. Consequently, the segments are evident from the structure of the Company’s internal organization, focusing on financial information that the Company’s Chief Executive Officer (“CEO”), who is the Chief Operating Decision Maker (“CODM”), uses to make decisions about the Company’s operating matters.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With the execution of the agreement to lease the Ward County facility, the CODM began considering resource allocations and investments in Company operations separately between the historical cryptocurrency mining business and the prospects of leasing the Company’s powered land and assets for use in the high-powered computing and artificial intelligence sectors. As such, the Company has determined it has two reportable segments: Cryptocurrency Mining and Digital Infrastructure Solutions. Each are individually managed and provide separate services. Revenues by segment represent revenues earned from the services offered within each segment. The Company does not report results by geographic region, as all of its operations are domestic. All revenues are generated through external customers, and the accounting policies applied to each reportable segment are consistent with those policies described in Note 2.</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primary metric reviewed by the CODM is adjusted gross profit, and this metric is reviewed to evaluate the Company’s operating results, its business strategies, and to determine resource allocation for digital asset purchases and other expenditures. The Company defines adjusted gross profit as revenues less cost of revenues applicable to each reportable segment, exclusive of depreciation.</w:t>
      </w:r>
    </w:p>
    <w:p>
      <w:pPr>
        <w:pStyle w:val="TextBody"/>
        <w:bidi w:val="0"/>
        <w:spacing w:lineRule="auto" w:line="333"/>
        <w:jc w:val="left"/>
        <w:rPr/>
      </w:pPr>
      <w:r>
        <w:rPr>
          <w:rFonts w:ascii="Times New Roman;serif" w:hAnsi="Times New Roman;serif"/>
          <w:b w:val="false"/>
          <w:color w:val="000000"/>
          <w:sz w:val="20"/>
        </w:rPr>
        <w:t>The following tables present financial information for the Company’s reportable segments for the periods indicated (</w:t>
      </w:r>
      <w:r>
        <w:rPr>
          <w:rFonts w:ascii="Times New Roman;serif" w:hAnsi="Times New Roman;serif"/>
          <w:b w:val="false"/>
          <w:i/>
          <w:color w:val="000000"/>
          <w:sz w:val="20"/>
        </w:rPr>
        <w:t>in thousands</w:t>
      </w:r>
      <w:r>
        <w:rPr>
          <w:rFonts w:ascii="Times New Roman;serif" w:hAnsi="Times New Roman;serif"/>
          <w:b w:val="false"/>
          <w:color w:val="000000"/>
          <w:sz w:val="20"/>
        </w:rPr>
        <w:t>):</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48"/>
        <w:gridCol w:w="1273"/>
        <w:gridCol w:w="1280"/>
        <w:gridCol w:w="425"/>
        <w:gridCol w:w="425"/>
        <w:gridCol w:w="364"/>
        <w:gridCol w:w="160"/>
        <w:gridCol w:w="160"/>
        <w:gridCol w:w="160"/>
        <w:gridCol w:w="425"/>
        <w:gridCol w:w="425"/>
        <w:gridCol w:w="364"/>
        <w:gridCol w:w="109"/>
        <w:gridCol w:w="109"/>
        <w:gridCol w:w="109"/>
        <w:gridCol w:w="425"/>
        <w:gridCol w:w="425"/>
        <w:gridCol w:w="412"/>
        <w:gridCol w:w="147"/>
        <w:gridCol w:w="147"/>
        <w:gridCol w:w="147"/>
        <w:gridCol w:w="386"/>
        <w:gridCol w:w="386"/>
        <w:gridCol w:w="494"/>
      </w:tblGrid>
      <w:tr>
        <w:trPr/>
        <w:tc>
          <w:tcPr>
            <w:tcW w:w="1448"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4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9"/>
            <w:tcBorders/>
            <w:tcMar>
              <w:top w:w="0" w:type="dxa"/>
              <w:left w:w="0" w:type="dxa"/>
              <w:bottom w:w="0" w:type="dxa"/>
              <w:right w:w="0" w:type="dxa"/>
            </w:tcMar>
            <w:vAlign w:val="center"/>
          </w:tcPr>
          <w:p>
            <w:pPr>
              <w:pStyle w:val="TableContents"/>
              <w:bidi w:val="0"/>
              <w:spacing w:lineRule="auto" w:line="312" w:before="53" w:after="30"/>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9"/>
            <w:tcBorders/>
            <w:tcMar>
              <w:top w:w="0" w:type="dxa"/>
              <w:left w:w="0" w:type="dxa"/>
              <w:bottom w:w="0" w:type="dxa"/>
              <w:right w:w="0" w:type="dxa"/>
            </w:tcMar>
            <w:vAlign w:val="center"/>
          </w:tcPr>
          <w:p>
            <w:pPr>
              <w:pStyle w:val="TableContents"/>
              <w:bidi w:val="0"/>
              <w:spacing w:lineRule="auto" w:line="312" w:before="53" w:after="30"/>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June 30, 2026</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June 30, 2026</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Cryptocurrency Mining Segment</w:t>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Cryptocurrency mining revenue</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4,798    </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37,192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12,199    </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78,273    </w:t>
            </w:r>
          </w:p>
        </w:tc>
      </w:tr>
      <w:tr>
        <w:trPr/>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significant segment expenses: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costs</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1,985    </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12,855    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4,245    </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26,167    </w:t>
            </w:r>
          </w:p>
        </w:tc>
      </w:tr>
      <w:tr>
        <w:trPr/>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 expense</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862    </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1,789    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2,090    </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3,495    </w:t>
            </w:r>
          </w:p>
        </w:tc>
      </w:tr>
      <w:tr>
        <w:trPr/>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Hosting and revenue share expense</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6,885    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1,944    </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16,306    </w:t>
            </w:r>
          </w:p>
        </w:tc>
      </w:tr>
      <w:tr>
        <w:trPr/>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and other facility expenses</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213    </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727    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384    </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1,501    </w:t>
            </w:r>
          </w:p>
        </w:tc>
      </w:tr>
      <w:tr>
        <w:trPr/>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cryptocurrency mining revenue, exclusive of depreciation</w:t>
            </w:r>
          </w:p>
        </w:tc>
        <w:tc>
          <w:tcPr>
            <w:tcW w:w="12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33" w:after="30"/>
              <w:jc w:val="right"/>
              <w:rPr>
                <w:color w:val="000000"/>
              </w:rPr>
            </w:pPr>
            <w:r>
              <w:rPr>
                <w:color w:val="000000"/>
              </w:rPr>
              <w:t>    </w:t>
            </w:r>
            <w:r>
              <w:rPr>
                <w:rFonts w:ascii="Times New Roman;serif" w:hAnsi="Times New Roman;serif"/>
                <w:b w:val="false"/>
                <w:color w:val="000000"/>
                <w:sz w:val="20"/>
              </w:rPr>
              <w:t>3,060    </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33" w:after="30"/>
              <w:jc w:val="right"/>
              <w:rPr>
                <w:color w:val="000000"/>
              </w:rPr>
            </w:pPr>
            <w:r>
              <w:rPr>
                <w:color w:val="000000"/>
              </w:rPr>
              <w:t>    </w:t>
            </w:r>
            <w:r>
              <w:rPr>
                <w:rFonts w:ascii="Times New Roman;serif" w:hAnsi="Times New Roman;serif"/>
                <w:b w:val="false"/>
                <w:color w:val="000000"/>
                <w:sz w:val="20"/>
              </w:rPr>
              <w:t>22,256    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33" w:after="30"/>
              <w:jc w:val="right"/>
              <w:rPr>
                <w:color w:val="000000"/>
              </w:rPr>
            </w:pPr>
            <w:r>
              <w:rPr>
                <w:color w:val="000000"/>
              </w:rPr>
              <w:t>    </w:t>
            </w:r>
            <w:r>
              <w:rPr>
                <w:rFonts w:ascii="Times New Roman;serif" w:hAnsi="Times New Roman;serif"/>
                <w:b w:val="false"/>
                <w:color w:val="000000"/>
                <w:sz w:val="20"/>
              </w:rPr>
              <w:t>8,663    </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33" w:after="30"/>
              <w:jc w:val="right"/>
              <w:rPr>
                <w:color w:val="000000"/>
              </w:rPr>
            </w:pPr>
            <w:r>
              <w:rPr>
                <w:color w:val="000000"/>
              </w:rPr>
              <w:t>    </w:t>
            </w:r>
            <w:r>
              <w:rPr>
                <w:rFonts w:ascii="Times New Roman;serif" w:hAnsi="Times New Roman;serif"/>
                <w:b w:val="false"/>
                <w:color w:val="000000"/>
                <w:sz w:val="20"/>
              </w:rPr>
              <w:t>47,469    </w:t>
            </w:r>
          </w:p>
        </w:tc>
      </w:tr>
      <w:tr>
        <w:trPr/>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Cryptocurrency mining adjusted gross profit</w:t>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1,738    </w:t>
            </w:r>
          </w:p>
        </w:tc>
        <w:tc>
          <w:tcPr>
            <w:tcW w:w="480" w:type="dxa"/>
            <w:gridSpan w:val="3"/>
            <w:tcBorders/>
            <w:shd w:fill="CCEEFF" w:val="clear"/>
            <w:tcMar>
              <w:top w:w="0" w:type="dxa"/>
              <w:left w:w="0" w:type="dxa"/>
              <w:bottom w:w="0" w:type="dxa"/>
              <w:right w:w="0" w:type="dxa"/>
            </w:tcMar>
            <w:vAlign w:val="center"/>
          </w:tcPr>
          <w:p>
            <w:pPr>
              <w:pStyle w:val="TableContents"/>
              <w:bidi w:val="0"/>
              <w:spacing w:before="33" w:after="30"/>
              <w:jc w:val="left"/>
              <w:rPr/>
            </w:pPr>
            <w:r>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14,936    </w:t>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30"/>
              <w:jc w:val="left"/>
              <w:rPr/>
            </w:pPr>
            <w:r>
              <w:rPr/>
            </w:r>
          </w:p>
        </w:tc>
        <w:tc>
          <w:tcPr>
            <w:tcW w:w="1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3,536    </w:t>
            </w:r>
          </w:p>
        </w:tc>
        <w:tc>
          <w:tcPr>
            <w:tcW w:w="441" w:type="dxa"/>
            <w:gridSpan w:val="3"/>
            <w:tcBorders/>
            <w:shd w:fill="CCEEFF" w:val="clear"/>
            <w:tcMar>
              <w:top w:w="0" w:type="dxa"/>
              <w:left w:w="0" w:type="dxa"/>
              <w:bottom w:w="0" w:type="dxa"/>
              <w:right w:w="0" w:type="dxa"/>
            </w:tcMar>
            <w:vAlign w:val="center"/>
          </w:tcPr>
          <w:p>
            <w:pPr>
              <w:pStyle w:val="TableContents"/>
              <w:bidi w:val="0"/>
              <w:spacing w:before="33" w:after="30"/>
              <w:jc w:val="left"/>
              <w:rPr/>
            </w:pPr>
            <w:r>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30,804    </w:t>
            </w:r>
          </w:p>
        </w:tc>
      </w:tr>
      <w:tr>
        <w:trPr/>
        <w:tc>
          <w:tcPr>
            <w:tcW w:w="4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Digital Infrastructure Solutions Segment</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infrastructure solutions revenue</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43,849    </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87,888    </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r>
      <w:tr>
        <w:trPr/>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digital infrastructure solutions revenue, exclusive of depreciation</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209    </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674    </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r>
      <w:tr>
        <w:trPr/>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infrastructure solutions adjusted gross profit</w:t>
            </w:r>
          </w:p>
        </w:tc>
        <w:tc>
          <w:tcPr>
            <w:tcW w:w="12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43,640    </w:t>
            </w:r>
          </w:p>
        </w:tc>
        <w:tc>
          <w:tcPr>
            <w:tcW w:w="480" w:type="dxa"/>
            <w:gridSpan w:val="3"/>
            <w:tcBorders/>
            <w:shd w:fill="FFFFFF" w:val="clear"/>
            <w:tcMar>
              <w:top w:w="0" w:type="dxa"/>
              <w:left w:w="0" w:type="dxa"/>
              <w:bottom w:w="0" w:type="dxa"/>
              <w:right w:w="0" w:type="dxa"/>
            </w:tcMar>
            <w:vAlign w:val="center"/>
          </w:tcPr>
          <w:p>
            <w:pPr>
              <w:pStyle w:val="TableContents"/>
              <w:bidi w:val="0"/>
              <w:spacing w:before="33" w:after="30"/>
              <w:jc w:val="left"/>
              <w:rPr/>
            </w:pPr>
            <w:r>
              <w:rPr/>
            </w:r>
          </w:p>
        </w:tc>
        <w:tc>
          <w:tcPr>
            <w:tcW w:w="12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33" w:after="30"/>
              <w:jc w:val="left"/>
              <w:rPr/>
            </w:pPr>
            <w:r>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87,214    </w:t>
            </w:r>
          </w:p>
        </w:tc>
        <w:tc>
          <w:tcPr>
            <w:tcW w:w="441" w:type="dxa"/>
            <w:gridSpan w:val="3"/>
            <w:tcBorders/>
            <w:shd w:fill="FFFFFF" w:val="clear"/>
            <w:tcMar>
              <w:top w:w="0" w:type="dxa"/>
              <w:left w:w="0" w:type="dxa"/>
              <w:bottom w:w="0" w:type="dxa"/>
              <w:right w:w="0" w:type="dxa"/>
            </w:tcMar>
            <w:vAlign w:val="center"/>
          </w:tcPr>
          <w:p>
            <w:pPr>
              <w:pStyle w:val="TableContents"/>
              <w:bidi w:val="0"/>
              <w:spacing w:before="33" w:after="30"/>
              <w:jc w:val="left"/>
              <w:rPr/>
            </w:pPr>
            <w:r>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r>
      <w:tr>
        <w:trPr/>
        <w:tc>
          <w:tcPr>
            <w:tcW w:w="4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Cryptocurrency mining revenue</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4,798    </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37,192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12,199    </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78,273    </w:t>
            </w:r>
          </w:p>
        </w:tc>
      </w:tr>
      <w:tr>
        <w:trPr/>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infrastructure solutions revenue</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43,849    </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87,888    </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r>
      <w:tr>
        <w:trPr/>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total revenue</w:t>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48,647    </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37,192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100,087    </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78,273    </w:t>
            </w:r>
          </w:p>
        </w:tc>
      </w:tr>
      <w:tr>
        <w:trPr/>
        <w:tc>
          <w:tcPr>
            <w:tcW w:w="4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segments’ total adjusted gross profit</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45,378    </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14,936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90,750    </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30,804    </w:t>
            </w:r>
          </w:p>
        </w:tc>
      </w:tr>
      <w:tr>
        <w:trPr/>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4,903    </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16,917    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10,479    </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33,374    </w:t>
            </w:r>
          </w:p>
        </w:tc>
      </w:tr>
      <w:tr>
        <w:trPr/>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19,465    </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10,796    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35,706    </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17,907    </w:t>
            </w:r>
          </w:p>
        </w:tc>
      </w:tr>
      <w:tr>
        <w:trPr/>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fair value of cryptocurrency assets</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28,204    </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(46,780)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81,527    </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(1,332)</w:t>
            </w:r>
          </w:p>
        </w:tc>
      </w:tr>
      <w:tr>
        <w:trPr/>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sale of cryptocurrency assets</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(14,796)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(32,410)</w:t>
            </w:r>
          </w:p>
        </w:tc>
      </w:tr>
      <w:tr>
        <w:trPr/>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 of property and equipment</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847    </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544    </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(21)</w:t>
            </w:r>
          </w:p>
        </w:tc>
      </w:tr>
      <w:tr>
        <w:trPr/>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195    </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250    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382    </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500    </w:t>
            </w:r>
          </w:p>
        </w:tc>
      </w:tr>
      <w:tr>
        <w:trPr/>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(179)</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(506)</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(700)</w:t>
            </w:r>
          </w:p>
        </w:tc>
      </w:tr>
      <w:tr>
        <w:trPr/>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cryptocurrency derivatives</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130    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130    </w:t>
            </w:r>
          </w:p>
        </w:tc>
      </w:tr>
      <w:tr>
        <w:trPr/>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litigation settlement</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8,079    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8,079    </w:t>
            </w:r>
          </w:p>
        </w:tc>
      </w:tr>
      <w:tr>
        <w:trPr/>
        <w:tc>
          <w:tcPr>
            <w:tcW w:w="4001" w:type="dxa"/>
            <w:gridSpan w:val="3"/>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21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(8,057)</w:t>
            </w:r>
          </w:p>
        </w:tc>
        <w:tc>
          <w:tcPr>
            <w:tcW w:w="480" w:type="dxa"/>
            <w:gridSpan w:val="3"/>
            <w:tcBorders/>
            <w:shd w:fill="CCEEFF" w:val="clear"/>
            <w:tcMar>
              <w:top w:w="0" w:type="dxa"/>
              <w:left w:w="0" w:type="dxa"/>
              <w:bottom w:w="0" w:type="dxa"/>
              <w:right w:w="0" w:type="dxa"/>
            </w:tcMar>
            <w:vAlign w:val="center"/>
          </w:tcPr>
          <w:p>
            <w:pPr>
              <w:pStyle w:val="TableContents"/>
              <w:bidi w:val="0"/>
              <w:spacing w:before="33" w:after="30"/>
              <w:jc w:val="left"/>
              <w:rPr/>
            </w:pPr>
            <w:r>
              <w:rPr/>
            </w:r>
          </w:p>
        </w:tc>
        <w:tc>
          <w:tcPr>
            <w:tcW w:w="121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40,701    </w:t>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30"/>
              <w:jc w:val="left"/>
              <w:rPr/>
            </w:pPr>
            <w:r>
              <w:rPr/>
            </w:r>
          </w:p>
        </w:tc>
        <w:tc>
          <w:tcPr>
            <w:tcW w:w="126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(37,382)</w:t>
            </w:r>
          </w:p>
        </w:tc>
        <w:tc>
          <w:tcPr>
            <w:tcW w:w="441" w:type="dxa"/>
            <w:gridSpan w:val="3"/>
            <w:tcBorders/>
            <w:shd w:fill="CCEEFF" w:val="clear"/>
            <w:tcMar>
              <w:top w:w="0" w:type="dxa"/>
              <w:left w:w="0" w:type="dxa"/>
              <w:bottom w:w="0" w:type="dxa"/>
              <w:right w:w="0" w:type="dxa"/>
            </w:tcMar>
            <w:vAlign w:val="center"/>
          </w:tcPr>
          <w:p>
            <w:pPr>
              <w:pStyle w:val="TableContents"/>
              <w:bidi w:val="0"/>
              <w:spacing w:before="33" w:after="30"/>
              <w:jc w:val="left"/>
              <w:rPr/>
            </w:pPr>
            <w:r>
              <w:rPr/>
            </w:r>
          </w:p>
        </w:tc>
        <w:tc>
          <w:tcPr>
            <w:tcW w:w="12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5,277    </w:t>
            </w:r>
          </w:p>
        </w:tc>
      </w:tr>
    </w:tbl>
    <w:p>
      <w:pPr>
        <w:pStyle w:val="TextBody"/>
        <w:bidi w:val="0"/>
        <w:spacing w:before="0" w:after="0"/>
        <w:jc w:val="left"/>
        <w:rPr/>
      </w:pPr>
      <w:r>
        <w:rPr/>
      </w:r>
    </w:p>
    <w:p>
      <w:pPr>
        <w:pStyle w:val="TextBody"/>
        <w:bidi w:val="0"/>
        <w:spacing w:lineRule="auto" w:line="333"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had one customer who accounted for 90.1% and 87.8% of total revenues for the three and six months ended June 30, 2026, all of which were recorded within the Digital Infrastructure Solutions Segment. There was one individual customer who accounted for 100% of total revenues for the three and six months ended June 30, 2025, all of which were recorded in the Cryptocurrency Mining Segment.</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4"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333" w:before="120" w:after="120"/>
        <w:jc w:val="left"/>
        <w:rPr/>
      </w:pPr>
      <w:r>
        <w:rPr>
          <w:rFonts w:ascii="Times New Roman;serif" w:hAnsi="Times New Roman;serif"/>
          <w:b w:val="false"/>
          <w:color w:val="000000"/>
          <w:sz w:val="20"/>
        </w:rPr>
        <w:t>The following tables present depreciation and capital expenditures for the Company’s reportable segments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9944" w:type="dxa"/>
        <w:jc w:val="left"/>
        <w:tblInd w:w="0" w:type="dxa"/>
        <w:tblLayout w:type="fixed"/>
        <w:tblCellMar>
          <w:top w:w="28" w:type="dxa"/>
          <w:left w:w="28" w:type="dxa"/>
          <w:bottom w:w="28" w:type="dxa"/>
          <w:right w:w="28" w:type="dxa"/>
        </w:tblCellMar>
      </w:tblPr>
      <w:tblGrid>
        <w:gridCol w:w="1206"/>
        <w:gridCol w:w="1059"/>
        <w:gridCol w:w="1065"/>
        <w:gridCol w:w="425"/>
        <w:gridCol w:w="425"/>
        <w:gridCol w:w="425"/>
        <w:gridCol w:w="203"/>
        <w:gridCol w:w="203"/>
        <w:gridCol w:w="203"/>
        <w:gridCol w:w="425"/>
        <w:gridCol w:w="425"/>
        <w:gridCol w:w="425"/>
        <w:gridCol w:w="109"/>
        <w:gridCol w:w="109"/>
        <w:gridCol w:w="109"/>
        <w:gridCol w:w="425"/>
        <w:gridCol w:w="425"/>
        <w:gridCol w:w="425"/>
        <w:gridCol w:w="178"/>
        <w:gridCol w:w="178"/>
        <w:gridCol w:w="178"/>
        <w:gridCol w:w="386"/>
        <w:gridCol w:w="386"/>
        <w:gridCol w:w="547"/>
      </w:tblGrid>
      <w:tr>
        <w:trPr/>
        <w:tc>
          <w:tcPr>
            <w:tcW w:w="120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9"/>
            <w:tcBorders/>
            <w:tcMar>
              <w:top w:w="0" w:type="dxa"/>
              <w:left w:w="0" w:type="dxa"/>
              <w:bottom w:w="0" w:type="dxa"/>
              <w:right w:w="0" w:type="dxa"/>
            </w:tcMar>
            <w:vAlign w:val="center"/>
          </w:tcPr>
          <w:p>
            <w:pPr>
              <w:pStyle w:val="TableContents"/>
              <w:bidi w:val="0"/>
              <w:spacing w:lineRule="auto" w:line="312" w:before="53" w:after="30"/>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9"/>
            <w:tcBorders/>
            <w:tcMar>
              <w:top w:w="0" w:type="dxa"/>
              <w:left w:w="0" w:type="dxa"/>
              <w:bottom w:w="0" w:type="dxa"/>
              <w:right w:w="0" w:type="dxa"/>
            </w:tcMar>
            <w:vAlign w:val="center"/>
          </w:tcPr>
          <w:p>
            <w:pPr>
              <w:pStyle w:val="TableContents"/>
              <w:bidi w:val="0"/>
              <w:spacing w:lineRule="auto" w:line="312" w:before="53" w:after="30"/>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June 30, 2026</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June 30, 2026</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Expense</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Cryptocurrency mining segment</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3,417    </w:t>
            </w:r>
          </w:p>
        </w:tc>
        <w:tc>
          <w:tcPr>
            <w:tcW w:w="609"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16,917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7,507    </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    33,374    </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Infrastructure solutions segment</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1,486    </w:t>
            </w:r>
          </w:p>
        </w:tc>
        <w:tc>
          <w:tcPr>
            <w:tcW w:w="609"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2,972    </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depreciation expense</w:t>
            </w:r>
          </w:p>
        </w:tc>
        <w:tc>
          <w:tcPr>
            <w:tcW w:w="127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4,903    </w:t>
            </w:r>
          </w:p>
        </w:tc>
        <w:tc>
          <w:tcPr>
            <w:tcW w:w="609" w:type="dxa"/>
            <w:gridSpan w:val="3"/>
            <w:tcBorders/>
            <w:shd w:fill="FFFFFF" w:val="clear"/>
            <w:tcMar>
              <w:top w:w="0" w:type="dxa"/>
              <w:left w:w="0" w:type="dxa"/>
              <w:bottom w:w="0" w:type="dxa"/>
              <w:right w:w="0" w:type="dxa"/>
            </w:tcMar>
            <w:vAlign w:val="center"/>
          </w:tcPr>
          <w:p>
            <w:pPr>
              <w:pStyle w:val="TableContents"/>
              <w:bidi w:val="0"/>
              <w:spacing w:before="33" w:after="30"/>
              <w:jc w:val="left"/>
              <w:rPr/>
            </w:pPr>
            <w:r>
              <w:rPr/>
            </w:r>
          </w:p>
        </w:tc>
        <w:tc>
          <w:tcPr>
            <w:tcW w:w="127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16,917    </w:t>
            </w:r>
          </w:p>
        </w:tc>
        <w:tc>
          <w:tcPr>
            <w:tcW w:w="327" w:type="dxa"/>
            <w:gridSpan w:val="3"/>
            <w:tcBorders/>
            <w:shd w:fill="FFFFFF" w:val="clear"/>
            <w:tcMar>
              <w:top w:w="0" w:type="dxa"/>
              <w:left w:w="0" w:type="dxa"/>
              <w:bottom w:w="0" w:type="dxa"/>
              <w:right w:w="0" w:type="dxa"/>
            </w:tcMar>
            <w:vAlign w:val="center"/>
          </w:tcPr>
          <w:p>
            <w:pPr>
              <w:pStyle w:val="TableContents"/>
              <w:bidi w:val="0"/>
              <w:spacing w:before="33" w:after="30"/>
              <w:jc w:val="left"/>
              <w:rPr/>
            </w:pPr>
            <w:r>
              <w:rPr/>
            </w:r>
          </w:p>
        </w:tc>
        <w:tc>
          <w:tcPr>
            <w:tcW w:w="127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10,479    </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1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33,374    </w:t>
            </w:r>
          </w:p>
        </w:tc>
      </w:tr>
    </w:tbl>
    <w:p>
      <w:pPr>
        <w:pStyle w:val="TextBody"/>
        <w:bidi w:val="0"/>
        <w:spacing w:before="0" w:after="0"/>
        <w:jc w:val="left"/>
        <w:rPr/>
      </w:pPr>
      <w:r>
        <w:rPr/>
      </w:r>
    </w:p>
    <w:p>
      <w:pPr>
        <w:pStyle w:val="TextBody"/>
        <w:bidi w:val="0"/>
        <w:spacing w:before="0" w:after="0"/>
        <w:jc w:val="left"/>
        <w:rPr/>
      </w:pPr>
      <w:r>
        <w:rPr/>
      </w:r>
    </w:p>
    <w:tbl>
      <w:tblPr>
        <w:tblW w:w="6458" w:type="dxa"/>
        <w:jc w:val="left"/>
        <w:tblInd w:w="0" w:type="dxa"/>
        <w:tblLayout w:type="fixed"/>
        <w:tblCellMar>
          <w:top w:w="28" w:type="dxa"/>
          <w:left w:w="28" w:type="dxa"/>
          <w:bottom w:w="28" w:type="dxa"/>
          <w:right w:w="28" w:type="dxa"/>
        </w:tblCellMar>
      </w:tblPr>
      <w:tblGrid>
        <w:gridCol w:w="1205"/>
        <w:gridCol w:w="1062"/>
        <w:gridCol w:w="1063"/>
        <w:gridCol w:w="425"/>
        <w:gridCol w:w="425"/>
        <w:gridCol w:w="425"/>
        <w:gridCol w:w="178"/>
        <w:gridCol w:w="178"/>
        <w:gridCol w:w="178"/>
        <w:gridCol w:w="386"/>
        <w:gridCol w:w="386"/>
        <w:gridCol w:w="547"/>
      </w:tblGrid>
      <w:tr>
        <w:trPr/>
        <w:tc>
          <w:tcPr>
            <w:tcW w:w="120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9"/>
            <w:tcBorders/>
            <w:tcMar>
              <w:top w:w="0" w:type="dxa"/>
              <w:left w:w="0" w:type="dxa"/>
              <w:bottom w:w="0" w:type="dxa"/>
              <w:right w:w="0" w:type="dxa"/>
            </w:tcMar>
            <w:vAlign w:val="center"/>
          </w:tcPr>
          <w:p>
            <w:pPr>
              <w:pStyle w:val="TableContents"/>
              <w:bidi w:val="0"/>
              <w:spacing w:lineRule="auto" w:line="312" w:before="53" w:after="30"/>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June 30, 2026</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Cryptocurrency mining segment</w:t>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33" w:after="30"/>
              <w:jc w:val="right"/>
              <w:rPr>
                <w:rFonts w:ascii="Times New Roman;serif" w:hAnsi="Times New Roman;serif"/>
                <w:b w:val="false"/>
                <w:color w:val="000000"/>
                <w:sz w:val="20"/>
              </w:rPr>
            </w:pPr>
            <w:r>
              <w:rPr>
                <w:rFonts w:ascii="Times New Roman;serif" w:hAnsi="Times New Roman;serif"/>
                <w:b w:val="false"/>
                <w:color w:val="000000"/>
                <w:sz w:val="20"/>
              </w:rPr>
              <w:t>$    13    </w:t>
            </w:r>
          </w:p>
        </w:tc>
        <w:tc>
          <w:tcPr>
            <w:tcW w:w="534" w:type="dxa"/>
            <w:gridSpan w:val="3"/>
            <w:tcBorders/>
            <w:shd w:fill="FFFFFF" w:val="clear"/>
            <w:tcMar>
              <w:top w:w="0" w:type="dxa"/>
              <w:left w:w="0" w:type="dxa"/>
              <w:bottom w:w="0" w:type="dxa"/>
              <w:right w:w="0" w:type="dxa"/>
            </w:tcMar>
            <w:vAlign w:val="center"/>
          </w:tcPr>
          <w:p>
            <w:pPr>
              <w:pStyle w:val="TableContents"/>
              <w:bidi w:val="0"/>
              <w:spacing w:before="33" w:after="30"/>
              <w:jc w:val="left"/>
              <w:rPr/>
            </w:pPr>
            <w:r>
              <w:rPr/>
            </w:r>
          </w:p>
        </w:tc>
        <w:tc>
          <w:tcPr>
            <w:tcW w:w="13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33" w:after="30"/>
              <w:jc w:val="right"/>
              <w:rPr>
                <w:rFonts w:ascii="Times New Roman;serif" w:hAnsi="Times New Roman;serif"/>
                <w:b w:val="false"/>
                <w:color w:val="000000"/>
                <w:sz w:val="20"/>
              </w:rPr>
            </w:pPr>
            <w:r>
              <w:rPr>
                <w:rFonts w:ascii="Times New Roman;serif" w:hAnsi="Times New Roman;serif"/>
                <w:b w:val="false"/>
                <w:color w:val="000000"/>
                <w:sz w:val="20"/>
              </w:rPr>
              <w:t>$    4,152    </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Infrastructure solutions segment</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5,814    </w:t>
            </w:r>
          </w:p>
        </w:tc>
        <w:tc>
          <w:tcPr>
            <w:tcW w:w="534"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    </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Capital Expenditures</w:t>
            </w:r>
          </w:p>
        </w:tc>
        <w:tc>
          <w:tcPr>
            <w:tcW w:w="127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5,827    </w:t>
            </w:r>
          </w:p>
        </w:tc>
        <w:tc>
          <w:tcPr>
            <w:tcW w:w="53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33" w:after="30"/>
              <w:jc w:val="left"/>
              <w:rPr/>
            </w:pPr>
            <w:r>
              <w:rPr/>
            </w:r>
          </w:p>
        </w:tc>
        <w:tc>
          <w:tcPr>
            <w:tcW w:w="131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4,152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0"/>
        <w:jc w:val="left"/>
        <w:rPr/>
      </w:pPr>
      <w:r>
        <w:rPr>
          <w:rFonts w:ascii="Times New Roman;serif" w:hAnsi="Times New Roman;serif"/>
          <w:b w:val="false"/>
          <w:color w:val="000000"/>
          <w:sz w:val="20"/>
        </w:rPr>
        <w:t>The following table presents total assets for the Company’s reportable segments, all of which are held in the United States, for the periods indicated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6700" w:type="dxa"/>
        <w:jc w:val="left"/>
        <w:tblInd w:w="0" w:type="dxa"/>
        <w:tblLayout w:type="fixed"/>
        <w:tblCellMar>
          <w:top w:w="28" w:type="dxa"/>
          <w:left w:w="28" w:type="dxa"/>
          <w:bottom w:w="28" w:type="dxa"/>
          <w:right w:w="28" w:type="dxa"/>
        </w:tblCellMar>
      </w:tblPr>
      <w:tblGrid>
        <w:gridCol w:w="1207"/>
        <w:gridCol w:w="1059"/>
        <w:gridCol w:w="1064"/>
        <w:gridCol w:w="424"/>
        <w:gridCol w:w="424"/>
        <w:gridCol w:w="426"/>
        <w:gridCol w:w="109"/>
        <w:gridCol w:w="109"/>
        <w:gridCol w:w="109"/>
        <w:gridCol w:w="517"/>
        <w:gridCol w:w="517"/>
        <w:gridCol w:w="735"/>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312" w:before="33" w:after="30"/>
              <w:jc w:val="left"/>
              <w:rPr>
                <w:rFonts w:ascii="Times New Roman;serif" w:hAnsi="Times New Roman;serif"/>
                <w:b w:val="false"/>
                <w:color w:val="000000"/>
                <w:sz w:val="20"/>
              </w:rPr>
            </w:pPr>
            <w:r>
              <w:rPr>
                <w:rFonts w:ascii="Times New Roman;serif" w:hAnsi="Times New Roman;serif"/>
                <w:b w:val="false"/>
                <w:color w:val="000000"/>
                <w:sz w:val="20"/>
              </w:rPr>
              <w:t>Cryptocurrency mining segment</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33" w:after="30"/>
              <w:jc w:val="right"/>
              <w:rPr>
                <w:rFonts w:ascii="Times New Roman;serif" w:hAnsi="Times New Roman;serif"/>
                <w:b w:val="false"/>
                <w:color w:val="000000"/>
                <w:sz w:val="20"/>
              </w:rPr>
            </w:pPr>
            <w:r>
              <w:rPr>
                <w:rFonts w:ascii="Times New Roman;serif" w:hAnsi="Times New Roman;serif"/>
                <w:b w:val="false"/>
                <w:color w:val="000000"/>
                <w:sz w:val="20"/>
              </w:rPr>
              <w:t>$    435,504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33" w:after="30"/>
              <w:jc w:val="right"/>
              <w:rPr>
                <w:rFonts w:ascii="Times New Roman;serif" w:hAnsi="Times New Roman;serif"/>
                <w:b w:val="false"/>
                <w:color w:val="000000"/>
                <w:sz w:val="20"/>
              </w:rPr>
            </w:pPr>
            <w:r>
              <w:rPr>
                <w:rFonts w:ascii="Times New Roman;serif" w:hAnsi="Times New Roman;serif"/>
                <w:b w:val="false"/>
                <w:color w:val="000000"/>
                <w:sz w:val="20"/>
              </w:rPr>
              <w:t>$    345,313    </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20"/>
              </w:rPr>
            </w:pPr>
            <w:r>
              <w:rPr>
                <w:rFonts w:ascii="Times New Roman;serif" w:hAnsi="Times New Roman;serif"/>
                <w:b w:val="false"/>
                <w:color w:val="000000"/>
                <w:sz w:val="20"/>
              </w:rPr>
              <w:t>Digital infrastructure solutions segment</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487,014    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259,691    </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312" w:before="33" w:after="30"/>
              <w:jc w:val="left"/>
              <w:rPr>
                <w:rFonts w:ascii="Times New Roman;serif" w:hAnsi="Times New Roman;serif"/>
                <w:b/>
                <w:color w:val="000000"/>
                <w:sz w:val="20"/>
              </w:rPr>
            </w:pPr>
            <w:r>
              <w:rPr>
                <w:rFonts w:ascii="Times New Roman;serif" w:hAnsi="Times New Roman;serif"/>
                <w:b/>
                <w:color w:val="000000"/>
                <w:sz w:val="20"/>
              </w:rPr>
              <w:t>Total Assets</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33" w:after="30"/>
              <w:jc w:val="right"/>
              <w:rPr>
                <w:rFonts w:ascii="Times New Roman;serif" w:hAnsi="Times New Roman;serif"/>
                <w:b w:val="false"/>
                <w:color w:val="000000"/>
                <w:sz w:val="20"/>
              </w:rPr>
            </w:pPr>
            <w:r>
              <w:rPr>
                <w:rFonts w:ascii="Times New Roman;serif" w:hAnsi="Times New Roman;serif"/>
                <w:b w:val="false"/>
                <w:color w:val="000000"/>
                <w:sz w:val="20"/>
              </w:rPr>
              <w:t>$    922,518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33" w:after="30"/>
              <w:jc w:val="right"/>
              <w:rPr>
                <w:rFonts w:ascii="Times New Roman;serif" w:hAnsi="Times New Roman;serif"/>
                <w:b w:val="false"/>
                <w:color w:val="000000"/>
                <w:sz w:val="20"/>
              </w:rPr>
            </w:pPr>
            <w:r>
              <w:rPr>
                <w:rFonts w:ascii="Times New Roman;serif" w:hAnsi="Times New Roman;serif"/>
                <w:b w:val="false"/>
                <w:color w:val="000000"/>
                <w:sz w:val="20"/>
              </w:rPr>
              <w:t>$    605,004    </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333"/>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together with our condensed consolidated financial statements and related notes appearing elsewhere in this Quarterly Report on Form 10-Q and the Prospectus. Some of the information contained in this discussion and analysis, including information with respect to the Company’s plans and strategy for its business, includes forward-looking statements that involve risks and uncertainties. As a result of many factors, including those factors set forth in the “Forward-Looking Statements” sections of this Quarterly Report, our actual results could differ materially from the results described in or implied by the forward-looking statements contained in the following discussion and analysis. Certain amounts may not foot due to rounding. </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6"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both"/>
        <w:rPr/>
      </w:pPr>
      <w:r>
        <w:rPr/>
      </w:r>
    </w:p>
    <w:p>
      <w:pPr>
        <w:pStyle w:val="TextBody"/>
        <w:bidi w:val="0"/>
        <w:spacing w:lineRule="auto" w:line="333" w:before="0" w:after="120"/>
        <w:jc w:val="both"/>
        <w:rPr>
          <w:rFonts w:ascii="Times New Roman;serif" w:hAnsi="Times New Roman;serif"/>
          <w:b/>
          <w:color w:val="000000"/>
          <w:sz w:val="20"/>
        </w:rPr>
      </w:pPr>
      <w:r>
        <w:rPr>
          <w:rFonts w:ascii="Times New Roman;serif" w:hAnsi="Times New Roman;serif"/>
          <w:b/>
          <w:color w:val="000000"/>
          <w:sz w:val="20"/>
        </w:rPr>
        <w:t>Overview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a digital infrastructure solutions and cryptocurrency mining company. We began as a pure-play cryptocurrency mining company when we were formed in January 2024 to acquire all of the cryptocurrency mining assets of Celsius Mining. From our inception, our core objective has been to monetize our portfolio of powered digital infrastructure assets. Historically, we have monetized these assets by efficiently mining bitcoin. More recently, we have sought to achieve this objective by primarily leasing our digital infrastructure assets to hyperscalers, enterprise customers and other businesses for high-performance computing (“HPC”) and artificial intelligence (“AI”) cloud infrastructure.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In October 2025, we announced our inaugural participation in the HPC/AI sector with a 126-month “triple net” lease with Nscale Ward County LLC (together, with its affiliates, “Nscale”), a global hyperscaler engineered for sovereign-grade AI infrastructure at our Ward County property in West Texas. In February 2026, we amended the lease. We refer to the lease, as amended, as the “Nscale Agreement.” We received our first payment under the Nscale Agreement in November 2025, and monthly fixed lease payments commenced in August 2026, which represent estimated total contracted revenues of approximately $1.9 billion, increasing to a potential $2.6 billion under the provisions of the amendment.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Our future financial operating strategy is to prioritize stable, contracted cash flows from our digital infrastructure operations while continuing to generate revenue from bitcoin mining for as long as it remains profitable. Our existing cryptocurrency mining assets in Midland will continue to mine bitcoin for as long as such operations remain profitable, while we commence work to develop these locations into HPC/AI facilities.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On July 28, 2026, the Company completed our direct listing of the Company’s Class A Common Stock.</w:t>
      </w:r>
    </w:p>
    <w:p>
      <w:pPr>
        <w:pStyle w:val="TextBody"/>
        <w:bidi w:val="0"/>
        <w:spacing w:lineRule="auto" w:line="333" w:before="240" w:after="120"/>
        <w:jc w:val="both"/>
        <w:rPr>
          <w:rFonts w:ascii="Times New Roman;serif" w:hAnsi="Times New Roman;serif"/>
          <w:b/>
          <w:color w:val="000000"/>
          <w:sz w:val="20"/>
        </w:rPr>
      </w:pPr>
      <w:r>
        <w:rPr>
          <w:rFonts w:ascii="Times New Roman;serif" w:hAnsi="Times New Roman;serif"/>
          <w:b/>
          <w:color w:val="000000"/>
          <w:sz w:val="20"/>
        </w:rPr>
        <w:t>Trends and Key Factors Affecting Performance</w:t>
      </w:r>
    </w:p>
    <w:p>
      <w:pPr>
        <w:pStyle w:val="TextBody"/>
        <w:bidi w:val="0"/>
        <w:spacing w:lineRule="auto" w:line="333" w:before="120" w:after="120"/>
        <w:jc w:val="both"/>
        <w:rPr>
          <w:rFonts w:ascii="Times New Roman;serif" w:hAnsi="Times New Roman;serif"/>
          <w:b/>
          <w:color w:val="000000"/>
          <w:sz w:val="20"/>
        </w:rPr>
      </w:pPr>
      <w:r>
        <w:rPr>
          <w:rFonts w:ascii="Times New Roman;serif" w:hAnsi="Times New Roman;serif"/>
          <w:b/>
          <w:color w:val="000000"/>
          <w:sz w:val="20"/>
        </w:rPr>
        <w:t>Ability to Access Power Capacity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seeking to expand the energy capacity at our Ward County property to 700 MW, which we believe would advance the monetization of our owned powered digital infrastructure assets. In addition to the 234 MW currently leased to Nscale, the Nscale Agreement contractually obligates Nscale to lease an additional 89 MW, when such capacity becomes available. Any expanded power capacity at our Ward County property is subject to regulatory approval; therefore, we cannot guarantee that the power generation at our Ward County property will be expanded as currently contemplated. While there is no penalty under the Nscale Agreement if we are unable to provide Nscale with the additional 89 MW of capacity, the ability to access additional power capacity is critical to our strategic growth plans. </w:t>
      </w:r>
    </w:p>
    <w:p>
      <w:pPr>
        <w:pStyle w:val="TextBody"/>
        <w:bidi w:val="0"/>
        <w:spacing w:lineRule="auto" w:line="333" w:before="120" w:after="120"/>
        <w:jc w:val="both"/>
        <w:rPr/>
      </w:pPr>
      <w:r>
        <w:rPr>
          <w:rFonts w:ascii="Times New Roman;serif" w:hAnsi="Times New Roman;serif"/>
          <w:b w:val="false"/>
          <w:color w:val="000000"/>
          <w:sz w:val="20"/>
        </w:rPr>
        <w:t>In addition, increases in Bitcoin network hashrate drive greater demand for additional and more efficient miners, which require additional power capacity. Additional energy capacity can be difficult to source at cost-effective prices or within locations that are favorable to HPC and AI infrastructure or to bitcoin mining. We aim to continue to leverage our existing relationships and develop new relationships within the energy industry to secure low-cost power capacity.</w:t>
      </w:r>
      <w:r>
        <w:rPr>
          <w:color w:val="000000"/>
        </w:rPr>
        <w:t> </w:t>
      </w:r>
    </w:p>
    <w:p>
      <w:pPr>
        <w:pStyle w:val="TextBody"/>
        <w:bidi w:val="0"/>
        <w:spacing w:lineRule="auto" w:line="333" w:before="120" w:after="120"/>
        <w:jc w:val="both"/>
        <w:rPr>
          <w:rFonts w:ascii="Times New Roman;serif" w:hAnsi="Times New Roman;serif"/>
          <w:b/>
          <w:color w:val="000000"/>
          <w:sz w:val="20"/>
        </w:rPr>
      </w:pPr>
      <w:r>
        <w:rPr>
          <w:rFonts w:ascii="Times New Roman;serif" w:hAnsi="Times New Roman;serif"/>
          <w:b/>
          <w:color w:val="000000"/>
          <w:sz w:val="20"/>
        </w:rPr>
        <w:t>Demand for Digital Infrastructure Solutions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planned growth of our digital infrastructure solutions business, through increased investment in HPC/AI infrastructure over the next several years, should gradually reduce our overall exposure to volatility in the spot price of bitcoin as digital infrastructure solutions begins to account for a larger percentage of our financial results. The digital infrastructure solutions business is characterized by implementation of long-term contracts with customers spanning several years and terms and conditions resulting in stable, predictable revenue and cash flows over the contract period. </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7"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333" w:before="120" w:after="120"/>
        <w:jc w:val="both"/>
        <w:rPr>
          <w:rFonts w:ascii="Times New Roman;serif" w:hAnsi="Times New Roman;serif"/>
          <w:b/>
          <w:color w:val="000000"/>
          <w:sz w:val="20"/>
        </w:rPr>
      </w:pPr>
      <w:r>
        <w:rPr>
          <w:rFonts w:ascii="Times New Roman;serif" w:hAnsi="Times New Roman;serif"/>
          <w:b/>
          <w:color w:val="000000"/>
          <w:sz w:val="20"/>
        </w:rPr>
        <w:t>Energy Costs </w:t>
      </w:r>
    </w:p>
    <w:p>
      <w:pPr>
        <w:pStyle w:val="TextBody"/>
        <w:bidi w:val="0"/>
        <w:spacing w:lineRule="auto" w:line="333" w:before="120" w:after="120"/>
        <w:jc w:val="both"/>
        <w:rPr/>
      </w:pPr>
      <w:r>
        <w:rPr>
          <w:rFonts w:ascii="Times New Roman;serif" w:hAnsi="Times New Roman;serif"/>
          <w:b w:val="false"/>
          <w:color w:val="000000"/>
          <w:sz w:val="20"/>
        </w:rPr>
        <w:t>Energy costs are the most significant driver of the profitability of our cryptocurrency mining business and, because they can be highly volatile, may impact digital infrastructure solutions as well. For our cryptocurrency mining business, we manage our cost of electricity through participation in various demand response programs, power purchase agreements, and curtailment of miners when electricity prices make it unprofitable to mine bitcoin. Geopolitical and macroeconomic factors, such as overseas military or economic conflict between states, can adversely affect electricity costs by raising the cost of power generation inputs such as natural gas. Other events out of our control can also impact electricity costs and availability. In certain power markets, financial hedging can be employed to protect buyers from the financial impact of significant increases in power prices.</w:t>
      </w:r>
      <w:r>
        <w:rPr>
          <w:color w:val="000000"/>
        </w:rPr>
        <w:t xml:space="preserve">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Energy costs may be adversely affected by macroeconomic or geopolitical events. For example, Russia’s invasion of Ukraine in February 2022 exerted pressure on the global energy market, particularly Europe’s natural gas supply. Higher liquid natural gas import needs in Europe previously resulted in increased volatility and worldwide supply tensions. The conflict added further pressure to supply chain disruptions and likely supported rising inflation through higher commodity prices. The U.S. experienced elevated electricity pricing possibly due to this conflict, although we have no, and do not intend to have any, direct operations in Russia or Ukraine. The current conflict in Iran has also affected global energy and transportation markets, in particular, the volatility of oil prices due to attacks on infrastructure and blockages of the Strait of Hormuz. </w:t>
      </w:r>
    </w:p>
    <w:p>
      <w:pPr>
        <w:pStyle w:val="TextBody"/>
        <w:bidi w:val="0"/>
        <w:spacing w:lineRule="auto" w:line="333" w:before="120" w:after="120"/>
        <w:jc w:val="both"/>
        <w:rPr>
          <w:rFonts w:ascii="Times New Roman;serif" w:hAnsi="Times New Roman;serif"/>
          <w:b/>
          <w:color w:val="000000"/>
          <w:sz w:val="20"/>
        </w:rPr>
      </w:pPr>
      <w:r>
        <w:rPr>
          <w:rFonts w:ascii="Times New Roman;serif" w:hAnsi="Times New Roman;serif"/>
          <w:b/>
          <w:color w:val="000000"/>
          <w:sz w:val="20"/>
        </w:rPr>
        <w:t>Our Competition and Customers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success of our digital infrastructure solutions business greatly depends on our ability to retain and develop opportunities with our existing customer, to secure additional infrastructure, and to attract new customers. In our digital infrastructure solutions business, we compete with data center REITs, developers, hyperscalers, and other bitcoin miners with facilities suitable for HPC workloads, primarily for high-power sites and the capital to develop them. We believe our operational track record and development expertise position us to effectively capture the strong and growing demand for high-power data center capacity.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cryptocurrency mining is increasingly dominated by large-scale industrial operators and, in some cases, sovereign nation-states with substantial resources. Competition spans hardware procurement, capital access, low-cost power, and high-power site development. While sector-wide transparency remains limited, available data indicates that network hashrate has continued to rise as both new entrants and existing competitors deploy additional capacity. While we believe our mining fleet and low-cost power portfolio position us competitively as the industry matures, we continue to shift our business to leasing digital infrastructure assets and anticipate that our bitcoin mining operations will decline over time.</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8"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20"/>
        <w:jc w:val="both"/>
        <w:rPr/>
      </w:pPr>
      <w:r>
        <w:rPr/>
      </w:r>
    </w:p>
    <w:p>
      <w:pPr>
        <w:pStyle w:val="TextBody"/>
        <w:bidi w:val="0"/>
        <w:spacing w:lineRule="auto" w:line="333" w:before="0" w:after="120"/>
        <w:jc w:val="both"/>
        <w:rPr>
          <w:rFonts w:ascii="Times New Roman;serif" w:hAnsi="Times New Roman;serif"/>
          <w:b/>
          <w:color w:val="000000"/>
          <w:sz w:val="20"/>
        </w:rPr>
      </w:pPr>
      <w:r>
        <w:rPr>
          <w:rFonts w:ascii="Times New Roman;serif" w:hAnsi="Times New Roman;serif"/>
          <w:b/>
          <w:color w:val="000000"/>
          <w:sz w:val="20"/>
        </w:rPr>
        <w:t>Results of Operations </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results of operations for the three months ended June 30, 2026 and 2025:</w:t>
      </w:r>
    </w:p>
    <w:tbl>
      <w:tblPr>
        <w:tblW w:w="10205" w:type="dxa"/>
        <w:jc w:val="left"/>
        <w:tblInd w:w="0" w:type="dxa"/>
        <w:tblLayout w:type="fixed"/>
        <w:tblCellMar>
          <w:top w:w="28" w:type="dxa"/>
          <w:left w:w="28" w:type="dxa"/>
          <w:bottom w:w="28" w:type="dxa"/>
          <w:right w:w="28" w:type="dxa"/>
        </w:tblCellMar>
      </w:tblPr>
      <w:tblGrid>
        <w:gridCol w:w="1580"/>
        <w:gridCol w:w="1388"/>
        <w:gridCol w:w="1378"/>
        <w:gridCol w:w="424"/>
        <w:gridCol w:w="424"/>
        <w:gridCol w:w="377"/>
        <w:gridCol w:w="109"/>
        <w:gridCol w:w="109"/>
        <w:gridCol w:w="109"/>
        <w:gridCol w:w="424"/>
        <w:gridCol w:w="424"/>
        <w:gridCol w:w="377"/>
        <w:gridCol w:w="109"/>
        <w:gridCol w:w="109"/>
        <w:gridCol w:w="109"/>
        <w:gridCol w:w="378"/>
        <w:gridCol w:w="378"/>
        <w:gridCol w:w="385"/>
        <w:gridCol w:w="109"/>
        <w:gridCol w:w="109"/>
        <w:gridCol w:w="109"/>
        <w:gridCol w:w="376"/>
        <w:gridCol w:w="376"/>
        <w:gridCol w:w="535"/>
      </w:tblGrid>
      <w:tr>
        <w:trPr/>
        <w:tc>
          <w:tcPr>
            <w:tcW w:w="1580"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4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4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in thousands)</w:t>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Variance</w:t>
            </w:r>
          </w:p>
        </w:tc>
      </w:tr>
      <w:tr>
        <w:trPr/>
        <w:tc>
          <w:tcPr>
            <w:tcW w:w="4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val="false"/>
                <w:color w:val="000000"/>
                <w:sz w:val="20"/>
              </w:rPr>
            </w:pPr>
            <w:r>
              <w:rPr>
                <w:rFonts w:ascii="Times New Roman;serif" w:hAnsi="Times New Roman;serif"/>
                <w:b w:val="false"/>
                <w:color w:val="000000"/>
                <w:sz w:val="20"/>
              </w:rPr>
              <w:t>Cryptocurrency mining</w:t>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rFonts w:ascii="Times New Roman;serif" w:hAnsi="Times New Roman;serif"/>
                <w:b w:val="false"/>
                <w:color w:val="000000"/>
                <w:sz w:val="20"/>
              </w:rPr>
            </w:pPr>
            <w:r>
              <w:rPr>
                <w:rFonts w:ascii="Times New Roman;serif" w:hAnsi="Times New Roman;serif"/>
                <w:b w:val="false"/>
                <w:color w:val="000000"/>
                <w:sz w:val="20"/>
              </w:rPr>
              <w:t>$    4,798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rFonts w:ascii="Times New Roman;serif" w:hAnsi="Times New Roman;serif"/>
                <w:b w:val="false"/>
                <w:color w:val="000000"/>
                <w:sz w:val="20"/>
              </w:rPr>
            </w:pPr>
            <w:r>
              <w:rPr>
                <w:rFonts w:ascii="Times New Roman;serif" w:hAnsi="Times New Roman;serif"/>
                <w:b w:val="false"/>
                <w:color w:val="000000"/>
                <w:sz w:val="20"/>
              </w:rPr>
              <w:t>$    37,192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rFonts w:ascii="Times New Roman;serif" w:hAnsi="Times New Roman;serif"/>
                <w:b w:val="false"/>
                <w:color w:val="000000"/>
                <w:sz w:val="20"/>
              </w:rPr>
            </w:pPr>
            <w:r>
              <w:rPr>
                <w:rFonts w:ascii="Times New Roman;serif" w:hAnsi="Times New Roman;serif"/>
                <w:b w:val="false"/>
                <w:color w:val="000000"/>
                <w:sz w:val="20"/>
              </w:rPr>
              <w:t>$    (32,394)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(87.1)    %</w:t>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val="false"/>
                <w:color w:val="000000"/>
                <w:sz w:val="20"/>
              </w:rPr>
            </w:pPr>
            <w:r>
              <w:rPr>
                <w:rFonts w:ascii="Times New Roman;serif" w:hAnsi="Times New Roman;serif"/>
                <w:b w:val="false"/>
                <w:color w:val="000000"/>
                <w:sz w:val="20"/>
              </w:rPr>
              <w:t>Digital infrastructure leasing</w:t>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43,849    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43,849    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r>
              <w:rPr>
                <w:rFonts w:ascii="Times New Roman;serif" w:hAnsi="Times New Roman;serif"/>
                <w:b w:val="false"/>
                <w:color w:val="000000"/>
                <w:sz w:val="20"/>
              </w:rPr>
              <w:t>%</w:t>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333" w:before="23" w:after="20"/>
              <w:ind w:left="0" w:right="0" w:hanging="180"/>
              <w:jc w:val="left"/>
              <w:rPr>
                <w:rFonts w:ascii="Times New Roman;serif" w:hAnsi="Times New Roman;serif"/>
                <w:b/>
                <w:color w:val="000000"/>
                <w:sz w:val="20"/>
              </w:rPr>
            </w:pPr>
            <w:r>
              <w:rPr>
                <w:rFonts w:ascii="Times New Roman;serif" w:hAnsi="Times New Roman;serif"/>
                <w:b/>
                <w:color w:val="000000"/>
                <w:sz w:val="20"/>
              </w:rPr>
              <w:t>Total revenue</w:t>
            </w:r>
          </w:p>
        </w:tc>
        <w:tc>
          <w:tcPr>
            <w:tcW w:w="12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color w:val="000000"/>
                <w:sz w:val="20"/>
              </w:rPr>
            </w:pPr>
            <w:r>
              <w:rPr>
                <w:rFonts w:ascii="Times New Roman;serif" w:hAnsi="Times New Roman;serif"/>
                <w:b/>
                <w:color w:val="000000"/>
                <w:sz w:val="20"/>
              </w:rPr>
              <w:t>$    48,647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color w:val="000000"/>
                <w:sz w:val="20"/>
              </w:rPr>
            </w:pPr>
            <w:r>
              <w:rPr>
                <w:rFonts w:ascii="Times New Roman;serif" w:hAnsi="Times New Roman;serif"/>
                <w:b/>
                <w:color w:val="000000"/>
                <w:sz w:val="20"/>
              </w:rPr>
              <w:t>$    37,192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color w:val="000000"/>
                <w:sz w:val="20"/>
              </w:rPr>
            </w:pPr>
            <w:r>
              <w:rPr>
                <w:rFonts w:ascii="Times New Roman;serif" w:hAnsi="Times New Roman;serif"/>
                <w:b/>
                <w:color w:val="000000"/>
                <w:sz w:val="20"/>
              </w:rPr>
              <w:t>$    11,455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color w:val="000000"/>
                <w:sz w:val="20"/>
              </w:rPr>
              <w:t>30.8    %</w:t>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333" w:before="43" w:after="20"/>
              <w:ind w:left="0" w:right="0" w:hanging="180"/>
              <w:jc w:val="left"/>
              <w:rPr>
                <w:color w:val="000000"/>
              </w:rPr>
            </w:pPr>
            <w:r>
              <w:rPr>
                <w:color w:val="000000"/>
              </w:rPr>
              <w:t> </w:t>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333" w:before="43" w:after="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w:t>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mining revenue, exclusive of depreciation</w:t>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3,060    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22,256    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(19,196)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(86.3)    %</w:t>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digital infrastructure solutions revenue, exclusive of depreciation</w:t>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209    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209    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r>
              <w:rPr>
                <w:rFonts w:ascii="Times New Roman;serif" w:hAnsi="Times New Roman;serif"/>
                <w:b w:val="false"/>
                <w:color w:val="000000"/>
                <w:sz w:val="20"/>
              </w:rPr>
              <w:t>%</w:t>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4,903    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16,917    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(71.0)    %</w:t>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19,465    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10,796    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8,669    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80.3    %</w:t>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fair value of cryptocurrency assets</w:t>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28,204    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(46,780)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74,984    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sale of cryptocurrency assets</w:t>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(14,796)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14,796    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(100.0)    %</w:t>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disposal of property and equipment</w:t>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847    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849    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w:t>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195    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250    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(22.0)    %</w:t>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56,883    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(11,359)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68,242    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333" w:before="23" w:after="20"/>
              <w:ind w:left="0" w:right="0" w:hanging="180"/>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2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color w:val="000000"/>
                <w:sz w:val="20"/>
              </w:rPr>
            </w:pPr>
            <w:r>
              <w:rPr>
                <w:rFonts w:ascii="Times New Roman;serif" w:hAnsi="Times New Roman;serif"/>
                <w:b/>
                <w:color w:val="000000"/>
                <w:sz w:val="20"/>
              </w:rPr>
              <w:t>$    (8,236)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color w:val="000000"/>
                <w:sz w:val="20"/>
              </w:rPr>
            </w:pPr>
            <w:r>
              <w:rPr>
                <w:rFonts w:ascii="Times New Roman;serif" w:hAnsi="Times New Roman;serif"/>
                <w:b/>
                <w:color w:val="000000"/>
                <w:sz w:val="20"/>
              </w:rPr>
              <w:t>$    48,551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color w:val="000000"/>
                <w:sz w:val="20"/>
              </w:rPr>
            </w:pPr>
            <w:r>
              <w:rPr>
                <w:rFonts w:ascii="Times New Roman;serif" w:hAnsi="Times New Roman;serif"/>
                <w:b/>
                <w:color w:val="000000"/>
                <w:sz w:val="20"/>
              </w:rPr>
              <w:t>$    (56,787)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color w:val="000000"/>
                <w:sz w:val="20"/>
              </w:rPr>
              <w:t>(117.0)    %</w:t>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333" w:before="43" w:after="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333" w:before="43" w:after="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179    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359    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(50.1)    %</w:t>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333" w:before="43" w:after="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Realized loss on cryptocurrency derivatives</w:t>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130    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(100.0)    %</w:t>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333" w:before="43" w:after="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on litigation settlement</w:t>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(8,079)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8,079    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(100.0)    %</w:t>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333" w:before="23" w:after="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179    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(7,850)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8,029    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333" w:before="23" w:after="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2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(8,057)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40,701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(48,758)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333" w:before="43" w:after="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27,248    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8,787    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18,461    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333" w:before="23" w:after="20"/>
              <w:ind w:left="0" w:right="0" w:hanging="180"/>
              <w:jc w:val="left"/>
              <w:rPr>
                <w:rFonts w:ascii="Times New Roman;serif" w:hAnsi="Times New Roman;serif"/>
                <w:b/>
                <w:color w:val="000000"/>
                <w:sz w:val="20"/>
              </w:rPr>
            </w:pPr>
            <w:r>
              <w:rPr>
                <w:rFonts w:ascii="Times New Roman;serif" w:hAnsi="Times New Roman;serif"/>
                <w:b/>
                <w:color w:val="000000"/>
                <w:sz w:val="20"/>
              </w:rPr>
              <w:t>Net income (loss)</w:t>
            </w:r>
          </w:p>
        </w:tc>
        <w:tc>
          <w:tcPr>
            <w:tcW w:w="12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color w:val="000000"/>
                <w:sz w:val="20"/>
              </w:rPr>
            </w:pPr>
            <w:r>
              <w:rPr>
                <w:rFonts w:ascii="Times New Roman;serif" w:hAnsi="Times New Roman;serif"/>
                <w:b/>
                <w:color w:val="000000"/>
                <w:sz w:val="20"/>
              </w:rPr>
              <w:t>$    (35,305)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color w:val="000000"/>
                <w:sz w:val="20"/>
              </w:rPr>
            </w:pPr>
            <w:r>
              <w:rPr>
                <w:rFonts w:ascii="Times New Roman;serif" w:hAnsi="Times New Roman;serif"/>
                <w:b/>
                <w:color w:val="000000"/>
                <w:sz w:val="20"/>
              </w:rPr>
              <w:t>$    31,914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color w:val="000000"/>
                <w:sz w:val="20"/>
              </w:rPr>
            </w:pPr>
            <w:r>
              <w:rPr>
                <w:rFonts w:ascii="Times New Roman;serif" w:hAnsi="Times New Roman;serif"/>
                <w:b/>
                <w:color w:val="000000"/>
                <w:sz w:val="20"/>
              </w:rPr>
              <w:t>$    (67,219)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0205" w:type="dxa"/>
            <w:gridSpan w:val="24"/>
            <w:tcBorders/>
            <w:tcMar>
              <w:top w:w="0" w:type="dxa"/>
              <w:left w:w="0" w:type="dxa"/>
              <w:bottom w:w="0" w:type="dxa"/>
              <w:right w:w="0" w:type="dxa"/>
            </w:tcMar>
            <w:vAlign w:val="center"/>
          </w:tcPr>
          <w:p>
            <w:pPr>
              <w:pStyle w:val="TableContents"/>
              <w:bidi w:val="0"/>
              <w:spacing w:lineRule="auto" w:line="333" w:before="43" w:after="20"/>
              <w:jc w:val="left"/>
              <w:rPr/>
            </w:pPr>
            <w:r>
              <w:rPr>
                <w:rFonts w:ascii="Times New Roman;serif" w:hAnsi="Times New Roman;serif"/>
                <w:b w:val="false"/>
                <w:color w:val="000000"/>
                <w:sz w:val="20"/>
              </w:rPr>
              <w:t xml:space="preserve">* - </w:t>
            </w:r>
            <w:r>
              <w:rPr>
                <w:rFonts w:ascii="Times New Roman;serif" w:hAnsi="Times New Roman;serif"/>
                <w:b w:val="false"/>
                <w:i/>
                <w:color w:val="000000"/>
                <w:sz w:val="20"/>
              </w:rPr>
              <w:t>not meaningful</w:t>
            </w:r>
          </w:p>
        </w:tc>
      </w:tr>
    </w:tbl>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Revenue </w:t>
      </w:r>
    </w:p>
    <w:p>
      <w:pPr>
        <w:pStyle w:val="TextBody"/>
        <w:bidi w:val="0"/>
        <w:spacing w:lineRule="auto" w:line="333"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Cryptocurrency mining revenues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Cryptocurrency mining revenue represents revenue earned from the mining of bitcoin. We participate in a third-party operated mining pool to which we provide the service of performing hash calculations, an output of our ordinary activities, in exchange for bitcoin. Our revenue is determined by the price of bitcoin, the hashrate generated by our miners, the block reward and transaction fee reward established by the Bitcoin network, and the network difficulty. </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9"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333" w:before="18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Cryptocurrency mining revenue for the three months ended June 30, 2026 was $4.8 million compared to $37.2 million for the three months ended June 30, 2025. The $32.4 million, or 87.1%, decrease in cryptocurrency mining revenue was primarily due to a decline in the average price of bitcoin and a reduction in active miners resulting in a reduced average hash rate as compared to the prior period. </w:t>
      </w:r>
    </w:p>
    <w:p>
      <w:pPr>
        <w:pStyle w:val="TextBody"/>
        <w:bidi w:val="0"/>
        <w:spacing w:lineRule="auto" w:line="333" w:before="120" w:after="120"/>
        <w:jc w:val="left"/>
        <w:rPr>
          <w:rFonts w:ascii="Times New Roman;serif" w:hAnsi="Times New Roman;serif"/>
          <w:b w:val="false"/>
          <w:i/>
          <w:color w:val="000000"/>
          <w:sz w:val="20"/>
        </w:rPr>
      </w:pPr>
      <w:r>
        <w:rPr>
          <w:rFonts w:ascii="Times New Roman;serif" w:hAnsi="Times New Roman;serif"/>
          <w:b w:val="false"/>
          <w:i/>
          <w:color w:val="000000"/>
          <w:sz w:val="20"/>
        </w:rPr>
        <w:t>Digital infrastructure leasing revenues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Digital infrastructure leasing revenue consists of revenue earned from leasing arrangements at our owned digital infrastructure site. For the three months ended June 30, 2026, we recognized $43.8 million digital infrastructure leasing revenue, representing the recognition of revenue associated with the Nscale Agreement. </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Costs of revenues and operating expenses</w:t>
      </w:r>
    </w:p>
    <w:p>
      <w:pPr>
        <w:pStyle w:val="TextBody"/>
        <w:bidi w:val="0"/>
        <w:spacing w:lineRule="auto" w:line="333"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Cost of mining revenues, exclusive of depreciation</w:t>
      </w:r>
    </w:p>
    <w:p>
      <w:pPr>
        <w:pStyle w:val="TextBody"/>
        <w:bidi w:val="0"/>
        <w:spacing w:lineRule="auto" w:line="333" w:before="120" w:after="120"/>
        <w:jc w:val="both"/>
        <w:rPr/>
      </w:pPr>
      <w:r>
        <w:rPr>
          <w:rFonts w:ascii="Times New Roman;serif" w:hAnsi="Times New Roman;serif"/>
          <w:b w:val="false"/>
          <w:color w:val="000000"/>
          <w:sz w:val="20"/>
        </w:rPr>
        <w:t>Cost of mining revenues, exclusive of depreciation, consists primarily of energy and labor costs to operate our owned and leased facilities and hosting fees to operate our hosted facilities. Electricity costs, which are a component of both owned, leased, and hosting costs of mining revenues, were and remain the most significant direct bitcoin mining expenditure. The price of electricity has historically been and may continue to be volatile.</w:t>
      </w:r>
      <w:r>
        <w:rPr>
          <w:color w:val="000000"/>
        </w:rPr>
        <w:t>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cost of mining revenues, exclusive of depreciation totaled $3.1 million compared with $22.3 million for the three months ended June 30, 2025. The cost of mining revenues, exclusive of deprecation decreased primarily due to the reduction in mining activities as compared to the prior period.</w:t>
      </w:r>
    </w:p>
    <w:p>
      <w:pPr>
        <w:pStyle w:val="TextBody"/>
        <w:bidi w:val="0"/>
        <w:spacing w:lineRule="auto" w:line="333"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Cost of digital infrastructure leasing revenues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Cost of digital infrastructure leasing revenue represents the costs incurred to decommission cryptocurrency mining operations at Ward County in preparation for occupation by the tenant in accordance with the Nscale Agreement, as well as amortization of the initial direct costs of the lease contract and costs to maintain the facilities that are largely passed through to the customer. For the three months ended June 30, 2026, Cost of digital infrastructure leasing revenue was $0.2 million. There were no Cost of digital infrastructure leasing revenue during the three months ended June 30, 2025. </w:t>
      </w:r>
    </w:p>
    <w:p>
      <w:pPr>
        <w:pStyle w:val="TextBody"/>
        <w:bidi w:val="0"/>
        <w:spacing w:lineRule="auto" w:line="333" w:before="120" w:after="120"/>
        <w:jc w:val="both"/>
        <w:rPr>
          <w:rFonts w:ascii="Times New Roman;serif" w:hAnsi="Times New Roman;serif"/>
          <w:b w:val="false"/>
          <w:i/>
          <w:color w:val="000000"/>
          <w:sz w:val="20"/>
        </w:rPr>
      </w:pPr>
      <w:r>
        <w:rPr>
          <w:rFonts w:ascii="Times New Roman;serif" w:hAnsi="Times New Roman;serif"/>
          <w:b w:val="false"/>
          <w:i/>
          <w:color w:val="000000"/>
          <w:sz w:val="20"/>
        </w:rPr>
        <w:t>Depreciation</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for the three months ended June 30, 2026 totaled $4.9 million, compared with $16.9 million for the three months ended June 30, 2025. The decrease in depreciation expense of 71.0% for the three months ended June 30, 2026 was primarily attributable to the reduction of fixed assets as a result of decommissioning the cryptocurrency mining operations at Ward County during the fourth quarter of 2025 and the subsequent disposal of related assets, including a reduction in our mining fleet. In addition, as of December 31, 2025, the Company recorded an impairment of its fixed assets related to its remaining cryptocurrency mining operations. </w:t>
      </w:r>
    </w:p>
    <w:p>
      <w:pPr>
        <w:pStyle w:val="TextBody"/>
        <w:bidi w:val="0"/>
        <w:spacing w:lineRule="auto" w:line="333" w:before="120" w:after="120"/>
        <w:jc w:val="both"/>
        <w:rPr/>
      </w:pPr>
      <w:r>
        <w:rPr>
          <w:rFonts w:ascii="Times New Roman;serif" w:hAnsi="Times New Roman;serif"/>
          <w:b w:val="false"/>
          <w:i/>
          <w:color w:val="000000"/>
          <w:sz w:val="20"/>
        </w:rPr>
        <w:t>General and administrative (“G&amp;A”) expenses</w:t>
      </w:r>
      <w:r>
        <w:rPr>
          <w:color w:val="000000"/>
        </w:rPr>
        <w:t>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G&amp;A expenses consist of service fees, professional fees, insurance, compensation costs, storage expenses, and sales taxes. G&amp;A expenses of $19.5 million for the three months ended June 30, 2026 represent an increase of 80.3% compared to $10.8 million for the three months ended June 30, 2025. The increase in G&amp;A expenses is primarily due to higher stock-based compensation expense and higher headcount-related costs as we expanded our team to support the Company’s strategic transition to digital infrastructure solutions. </w:t>
      </w:r>
    </w:p>
    <w:p>
      <w:pPr>
        <w:pStyle w:val="TextBody"/>
        <w:bidi w:val="0"/>
        <w:spacing w:lineRule="auto" w:line="333" w:before="120" w:after="120"/>
        <w:jc w:val="left"/>
        <w:rPr>
          <w:rFonts w:ascii="Times New Roman;serif" w:hAnsi="Times New Roman;serif"/>
          <w:b w:val="false"/>
          <w:i/>
          <w:color w:val="000000"/>
          <w:sz w:val="20"/>
        </w:rPr>
      </w:pPr>
      <w:r>
        <w:rPr>
          <w:rFonts w:ascii="Times New Roman;serif" w:hAnsi="Times New Roman;serif"/>
          <w:b w:val="false"/>
          <w:i/>
          <w:color w:val="000000"/>
          <w:sz w:val="20"/>
        </w:rPr>
        <w:t>(Gain) loss on fair value of cryptocurrency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We recorded a loss on the fair value of cryptocurrency for the three months ended June 30, 2026 totaling $28.2 million compared with a gain of $46.8 million for the three months ended June 30, 2025. This activity represents the change in fair value of bitcoin held by us between the time the bitcoin was mined and the fair value of bitcoin as of the respective period-end, and reflects the volatility in the price of a bitcoin.</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50"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333"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Realized gain on sale of cryptocurrency assets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was no realized gain on sale of cryptocurrency assets for the three months ended June 30, 2026 compared to a gain of $14.8 million for the three months ended June 30, 2025. This is a result of the Company not selling any cryptocurrency assets during the current period. </w:t>
      </w:r>
    </w:p>
    <w:p>
      <w:pPr>
        <w:pStyle w:val="TextBody"/>
        <w:bidi w:val="0"/>
        <w:spacing w:lineRule="auto" w:line="333" w:before="120" w:after="120"/>
        <w:jc w:val="both"/>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Other income (expense) consists primarily of interest income, gains and losses related to litigation settlements, gains on investments, and realized and unrealized losses related to derivative contracts. Other income was $0.2 million for the three months ended June 30, 2026 compared to expense of $7.9 million for the three months ended June 30, 2025, with the difference of $8.0 million primarily driven by non-recurring gains in the prior period on a litigation settlement.</w:t>
      </w:r>
    </w:p>
    <w:p>
      <w:pPr>
        <w:pStyle w:val="TextBody"/>
        <w:bidi w:val="0"/>
        <w:spacing w:lineRule="auto" w:line="333" w:before="120" w:after="120"/>
        <w:jc w:val="both"/>
        <w:rPr>
          <w:rFonts w:ascii="Times New Roman;serif" w:hAnsi="Times New Roman;serif"/>
          <w:b w:val="false"/>
          <w:i/>
          <w:color w:val="000000"/>
          <w:sz w:val="20"/>
        </w:rPr>
      </w:pPr>
      <w:r>
        <w:rPr>
          <w:rFonts w:ascii="Times New Roman;serif" w:hAnsi="Times New Roman;serif"/>
          <w:b w:val="false"/>
          <w:i/>
          <w:color w:val="000000"/>
          <w:sz w:val="20"/>
        </w:rPr>
        <w:t>Provision (benefit) for income taxes  </w:t>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the Company changed its methodology for determining interim income tax expense from the estimated annual effective tax rate method to the year-to-date actual effective tax rate method, adjusted for discrete items recognized in the applicable interim period. The change was made because the Company determined it could no longer reliably estimate its annual effective tax rate due primarily to the volatility of bitcoin fair values and the resulting variability in its deferred tax position, together with significant uncertainty in forecasting annual pre-tax income. Additional information regarding this change is included in Note 14 to the condensed consolidated financial statements.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Company recorded income tax expense (including discrete items) of $27.2 million, compared to $8.8 million for the three months ended June 30, 2025. The increase in income tax expense was primarily attributable to deferred tax expense resulting from increases in the Company's valuation allowance, principally related to deferred tax assets associated with unrealized losses on cryptocurrency holdings.</w:t>
      </w:r>
    </w:p>
    <w:p>
      <w:pPr>
        <w:pStyle w:val="TextBody"/>
        <w:bidi w:val="0"/>
        <w:spacing w:lineRule="auto" w:line="319" w:before="120" w:after="120"/>
        <w:jc w:val="both"/>
        <w:rPr/>
      </w:pPr>
      <w:r>
        <w:rPr>
          <w:rFonts w:ascii="Times New Roman;serif" w:hAnsi="Times New Roman;serif"/>
          <w:b w:val="false"/>
          <w:color w:val="000000"/>
          <w:sz w:val="20"/>
        </w:rPr>
        <w:t>The Company’s effective tax rate (including discrete items) was (338.2)% and 21.6% for the three months ended June 30, 2026 and 2025, respectively. The effective tax rate for the 2026 period differed significantly from the U.S. federal statutory rate of 21%</w:t>
      </w:r>
      <w:r>
        <w:rPr>
          <w:color w:val="000000"/>
        </w:rPr>
        <w:t xml:space="preserve"> </w:t>
      </w:r>
      <w:r>
        <w:rPr>
          <w:rFonts w:ascii="Times New Roman;serif" w:hAnsi="Times New Roman;serif"/>
          <w:b w:val="false"/>
          <w:color w:val="000000"/>
          <w:sz w:val="20"/>
        </w:rPr>
        <w:t xml:space="preserve">primarily due to the valuation allowance recorded against the deferred tax asset associated with unrealized losses on cryptocurrency holdings, as well as permanent differences related to non-deductible officer compensation and non-deductible stock issuance costs. Under ASU 2023-08, changes in the fair value of the Company's cryptocurrency holdings are recognized in earnings but are not taxable until disposition. Any resulting losses would be capital in character and available only to offset capital gains, which the Company does not currently expect to generate in sufficient amounts within the applicable carryforward period to realize the related deferred tax asset. These items resulted in the recognition of income tax expense despite the Company’s pre-tax losses for the quarter. </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51"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20"/>
        <w:jc w:val="both"/>
        <w:rPr/>
      </w:pPr>
      <w:r>
        <w:rPr/>
      </w:r>
    </w:p>
    <w:p>
      <w:pPr>
        <w:pStyle w:val="TextBody"/>
        <w:bidi w:val="0"/>
        <w:spacing w:lineRule="auto" w:line="333" w:before="0" w:after="120"/>
        <w:jc w:val="both"/>
        <w:rPr>
          <w:rFonts w:ascii="Times New Roman;serif" w:hAnsi="Times New Roman;serif"/>
          <w:b/>
          <w:color w:val="000000"/>
          <w:sz w:val="20"/>
        </w:rPr>
      </w:pPr>
      <w:r>
        <w:rPr>
          <w:rFonts w:ascii="Times New Roman;serif" w:hAnsi="Times New Roman;serif"/>
          <w:b/>
          <w:color w:val="000000"/>
          <w:sz w:val="20"/>
        </w:rPr>
        <w:t>Results of Operations </w:t>
      </w:r>
    </w:p>
    <w:p>
      <w:pPr>
        <w:pStyle w:val="TextBody"/>
        <w:bidi w:val="0"/>
        <w:spacing w:lineRule="auto" w:line="333" w:before="120" w:after="120"/>
        <w:jc w:val="both"/>
        <w:rPr/>
      </w:pPr>
      <w:r>
        <w:rPr>
          <w:rFonts w:ascii="Times New Roman;serif" w:hAnsi="Times New Roman;serif"/>
          <w:b/>
          <w:i/>
          <w:color w:val="000000"/>
          <w:sz w:val="20"/>
        </w:rPr>
        <w:t>Comparison of the six</w:t>
      </w:r>
      <w:r>
        <w:rPr>
          <w:color w:val="000000"/>
        </w:rPr>
        <w:t xml:space="preserve"> </w:t>
      </w:r>
      <w:r>
        <w:rPr>
          <w:rFonts w:ascii="Times New Roman;serif" w:hAnsi="Times New Roman;serif"/>
          <w:b/>
          <w:i/>
          <w:color w:val="000000"/>
          <w:sz w:val="20"/>
        </w:rPr>
        <w:t>months ended June 30, 2026 and 2025</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results of operations for the six months ended June 30, 2026 and 2025:</w:t>
      </w:r>
    </w:p>
    <w:tbl>
      <w:tblPr>
        <w:tblW w:w="10205" w:type="dxa"/>
        <w:jc w:val="left"/>
        <w:tblInd w:w="0" w:type="dxa"/>
        <w:tblLayout w:type="fixed"/>
        <w:tblCellMar>
          <w:top w:w="28" w:type="dxa"/>
          <w:left w:w="28" w:type="dxa"/>
          <w:bottom w:w="28" w:type="dxa"/>
          <w:right w:w="28" w:type="dxa"/>
        </w:tblCellMar>
      </w:tblPr>
      <w:tblGrid>
        <w:gridCol w:w="1569"/>
        <w:gridCol w:w="1379"/>
        <w:gridCol w:w="1369"/>
        <w:gridCol w:w="424"/>
        <w:gridCol w:w="424"/>
        <w:gridCol w:w="415"/>
        <w:gridCol w:w="109"/>
        <w:gridCol w:w="109"/>
        <w:gridCol w:w="109"/>
        <w:gridCol w:w="424"/>
        <w:gridCol w:w="424"/>
        <w:gridCol w:w="376"/>
        <w:gridCol w:w="109"/>
        <w:gridCol w:w="109"/>
        <w:gridCol w:w="109"/>
        <w:gridCol w:w="378"/>
        <w:gridCol w:w="378"/>
        <w:gridCol w:w="385"/>
        <w:gridCol w:w="109"/>
        <w:gridCol w:w="109"/>
        <w:gridCol w:w="109"/>
        <w:gridCol w:w="381"/>
        <w:gridCol w:w="370"/>
        <w:gridCol w:w="528"/>
      </w:tblGrid>
      <w:tr>
        <w:trPr/>
        <w:tc>
          <w:tcPr>
            <w:tcW w:w="156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in thousands)</w:t>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Variance</w:t>
            </w:r>
          </w:p>
        </w:tc>
      </w:tr>
      <w:tr>
        <w:trPr/>
        <w:tc>
          <w:tcPr>
            <w:tcW w:w="43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7" w:type="dxa"/>
            <w:gridSpan w:val="3"/>
            <w:tcBorders/>
            <w:shd w:fill="FFFFFF" w:val="clear"/>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val="false"/>
                <w:color w:val="000000"/>
                <w:sz w:val="20"/>
              </w:rPr>
            </w:pPr>
            <w:r>
              <w:rPr>
                <w:rFonts w:ascii="Times New Roman;serif" w:hAnsi="Times New Roman;serif"/>
                <w:b w:val="false"/>
                <w:color w:val="000000"/>
                <w:sz w:val="20"/>
              </w:rPr>
              <w:t>Cryptocurrency mining</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rFonts w:ascii="Times New Roman;serif" w:hAnsi="Times New Roman;serif"/>
                <w:b w:val="false"/>
                <w:color w:val="000000"/>
                <w:sz w:val="20"/>
              </w:rPr>
            </w:pPr>
            <w:r>
              <w:rPr>
                <w:rFonts w:ascii="Times New Roman;serif" w:hAnsi="Times New Roman;serif"/>
                <w:b w:val="false"/>
                <w:color w:val="000000"/>
                <w:sz w:val="20"/>
              </w:rPr>
              <w:t>$    12,199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rFonts w:ascii="Times New Roman;serif" w:hAnsi="Times New Roman;serif"/>
                <w:b w:val="false"/>
                <w:color w:val="000000"/>
                <w:sz w:val="20"/>
              </w:rPr>
            </w:pPr>
            <w:r>
              <w:rPr>
                <w:rFonts w:ascii="Times New Roman;serif" w:hAnsi="Times New Roman;serif"/>
                <w:b w:val="false"/>
                <w:color w:val="000000"/>
                <w:sz w:val="20"/>
              </w:rPr>
              <w:t>$    78,273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rFonts w:ascii="Times New Roman;serif" w:hAnsi="Times New Roman;serif"/>
                <w:b w:val="false"/>
                <w:color w:val="000000"/>
                <w:sz w:val="20"/>
              </w:rPr>
            </w:pPr>
            <w:r>
              <w:rPr>
                <w:rFonts w:ascii="Times New Roman;serif" w:hAnsi="Times New Roman;serif"/>
                <w:b w:val="false"/>
                <w:color w:val="000000"/>
                <w:sz w:val="20"/>
              </w:rPr>
              <w:t>$    (66,074)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(84.4)    %</w:t>
            </w:r>
          </w:p>
        </w:tc>
      </w:tr>
      <w:tr>
        <w:trPr/>
        <w:tc>
          <w:tcPr>
            <w:tcW w:w="4317" w:type="dxa"/>
            <w:gridSpan w:val="3"/>
            <w:tcBorders/>
            <w:shd w:fill="CCEEFF" w:val="clear"/>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val="false"/>
                <w:color w:val="000000"/>
                <w:sz w:val="20"/>
              </w:rPr>
            </w:pPr>
            <w:r>
              <w:rPr>
                <w:rFonts w:ascii="Times New Roman;serif" w:hAnsi="Times New Roman;serif"/>
                <w:b w:val="false"/>
                <w:color w:val="000000"/>
                <w:sz w:val="20"/>
              </w:rPr>
              <w:t>Digital infrastructure leasing</w:t>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87,888    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87,888    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r>
              <w:rPr>
                <w:rFonts w:ascii="Times New Roman;serif" w:hAnsi="Times New Roman;serif"/>
                <w:b w:val="false"/>
                <w:color w:val="000000"/>
                <w:sz w:val="20"/>
              </w:rPr>
              <w:t>%</w:t>
            </w:r>
          </w:p>
        </w:tc>
      </w:tr>
      <w:tr>
        <w:trPr/>
        <w:tc>
          <w:tcPr>
            <w:tcW w:w="4317" w:type="dxa"/>
            <w:gridSpan w:val="3"/>
            <w:tcBorders/>
            <w:shd w:fill="FFFFFF" w:val="clear"/>
            <w:tcMar>
              <w:top w:w="0" w:type="dxa"/>
              <w:left w:w="0" w:type="dxa"/>
              <w:bottom w:w="0" w:type="dxa"/>
              <w:right w:w="0" w:type="dxa"/>
            </w:tcMar>
            <w:vAlign w:val="center"/>
          </w:tcPr>
          <w:p>
            <w:pPr>
              <w:pStyle w:val="TableContents"/>
              <w:bidi w:val="0"/>
              <w:spacing w:lineRule="auto" w:line="333" w:before="23" w:after="20"/>
              <w:ind w:left="0" w:right="0" w:hanging="180"/>
              <w:jc w:val="left"/>
              <w:rPr>
                <w:rFonts w:ascii="Times New Roman;serif" w:hAnsi="Times New Roman;serif"/>
                <w:b/>
                <w:color w:val="000000"/>
                <w:sz w:val="20"/>
              </w:rPr>
            </w:pPr>
            <w:r>
              <w:rPr>
                <w:rFonts w:ascii="Times New Roman;serif" w:hAnsi="Times New Roman;serif"/>
                <w:b/>
                <w:color w:val="000000"/>
                <w:sz w:val="20"/>
              </w:rPr>
              <w:t>Total revenue</w:t>
            </w:r>
          </w:p>
        </w:tc>
        <w:tc>
          <w:tcPr>
            <w:tcW w:w="12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color w:val="000000"/>
                <w:sz w:val="20"/>
              </w:rPr>
            </w:pPr>
            <w:r>
              <w:rPr>
                <w:rFonts w:ascii="Times New Roman;serif" w:hAnsi="Times New Roman;serif"/>
                <w:b/>
                <w:color w:val="000000"/>
                <w:sz w:val="20"/>
              </w:rPr>
              <w:t>$    100,087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color w:val="000000"/>
                <w:sz w:val="20"/>
              </w:rPr>
            </w:pPr>
            <w:r>
              <w:rPr>
                <w:rFonts w:ascii="Times New Roman;serif" w:hAnsi="Times New Roman;serif"/>
                <w:b/>
                <w:color w:val="000000"/>
                <w:sz w:val="20"/>
              </w:rPr>
              <w:t>$    78,273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color w:val="000000"/>
                <w:sz w:val="20"/>
              </w:rPr>
            </w:pPr>
            <w:r>
              <w:rPr>
                <w:rFonts w:ascii="Times New Roman;serif" w:hAnsi="Times New Roman;serif"/>
                <w:b/>
                <w:color w:val="000000"/>
                <w:sz w:val="20"/>
              </w:rPr>
              <w:t>$    21,814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color w:val="000000"/>
                <w:sz w:val="20"/>
              </w:rPr>
              <w:t>27.9    %</w:t>
            </w:r>
          </w:p>
        </w:tc>
      </w:tr>
      <w:tr>
        <w:trPr/>
        <w:tc>
          <w:tcPr>
            <w:tcW w:w="4317" w:type="dxa"/>
            <w:gridSpan w:val="3"/>
            <w:tcBorders/>
            <w:shd w:fill="CCEEFF" w:val="clear"/>
            <w:tcMar>
              <w:top w:w="0" w:type="dxa"/>
              <w:left w:w="0" w:type="dxa"/>
              <w:bottom w:w="0" w:type="dxa"/>
              <w:right w:w="0" w:type="dxa"/>
            </w:tcMar>
            <w:vAlign w:val="center"/>
          </w:tcPr>
          <w:p>
            <w:pPr>
              <w:pStyle w:val="TableContents"/>
              <w:bidi w:val="0"/>
              <w:spacing w:lineRule="auto" w:line="333" w:before="43" w:after="20"/>
              <w:ind w:left="0" w:right="0" w:hanging="180"/>
              <w:jc w:val="left"/>
              <w:rPr>
                <w:color w:val="000000"/>
              </w:rPr>
            </w:pPr>
            <w:r>
              <w:rPr>
                <w:color w:val="000000"/>
              </w:rPr>
              <w:t> </w:t>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7" w:type="dxa"/>
            <w:gridSpan w:val="3"/>
            <w:tcBorders/>
            <w:shd w:fill="FFFFFF" w:val="clear"/>
            <w:tcMar>
              <w:top w:w="0" w:type="dxa"/>
              <w:left w:w="0" w:type="dxa"/>
              <w:bottom w:w="0" w:type="dxa"/>
              <w:right w:w="0" w:type="dxa"/>
            </w:tcMar>
            <w:vAlign w:val="center"/>
          </w:tcPr>
          <w:p>
            <w:pPr>
              <w:pStyle w:val="TableContents"/>
              <w:bidi w:val="0"/>
              <w:spacing w:lineRule="auto" w:line="333" w:before="43" w:after="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w:t>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mining revenue, exclusive of depreciation</w:t>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8,663    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47,469    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(38,806)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(81.8)    %</w:t>
            </w:r>
          </w:p>
        </w:tc>
      </w:tr>
      <w:tr>
        <w:trPr/>
        <w:tc>
          <w:tcPr>
            <w:tcW w:w="4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digital infrastructure solutions revenue, exclusive of depreciation</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674    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674    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r>
              <w:rPr>
                <w:rFonts w:ascii="Times New Roman;serif" w:hAnsi="Times New Roman;serif"/>
                <w:b w:val="false"/>
                <w:color w:val="000000"/>
                <w:sz w:val="20"/>
              </w:rPr>
              <w:t>%</w:t>
            </w:r>
          </w:p>
        </w:tc>
      </w:tr>
      <w:tr>
        <w:trPr/>
        <w:tc>
          <w:tcPr>
            <w:tcW w:w="4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10,479    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33,374    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(22,895)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(68.6)    %</w:t>
            </w:r>
          </w:p>
        </w:tc>
      </w:tr>
      <w:tr>
        <w:trPr/>
        <w:tc>
          <w:tcPr>
            <w:tcW w:w="4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35,706    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17,907    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17,799    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99.4    %</w:t>
            </w:r>
          </w:p>
        </w:tc>
      </w:tr>
      <w:tr>
        <w:trPr/>
        <w:tc>
          <w:tcPr>
            <w:tcW w:w="4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fair value of cryptocurrency assets</w:t>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81,527    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82,859    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sale of cryptocurrency assets</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(32,410)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32,410    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(100.0)    %</w:t>
            </w:r>
          </w:p>
        </w:tc>
      </w:tr>
      <w:tr>
        <w:trPr/>
        <w:tc>
          <w:tcPr>
            <w:tcW w:w="4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disposal of property and equipment</w:t>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544    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565    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382    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500    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(23.6)    %</w:t>
            </w:r>
          </w:p>
        </w:tc>
      </w:tr>
      <w:tr>
        <w:trPr/>
        <w:tc>
          <w:tcPr>
            <w:tcW w:w="4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137,975    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65,487    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72,488    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110.7    %</w:t>
            </w:r>
          </w:p>
        </w:tc>
      </w:tr>
      <w:tr>
        <w:trPr/>
        <w:tc>
          <w:tcPr>
            <w:tcW w:w="4317" w:type="dxa"/>
            <w:gridSpan w:val="3"/>
            <w:tcBorders/>
            <w:shd w:fill="FFFFFF" w:val="clear"/>
            <w:tcMar>
              <w:top w:w="0" w:type="dxa"/>
              <w:left w:w="0" w:type="dxa"/>
              <w:bottom w:w="0" w:type="dxa"/>
              <w:right w:w="0" w:type="dxa"/>
            </w:tcMar>
            <w:vAlign w:val="center"/>
          </w:tcPr>
          <w:p>
            <w:pPr>
              <w:pStyle w:val="TableContents"/>
              <w:bidi w:val="0"/>
              <w:spacing w:lineRule="auto" w:line="333" w:before="23" w:after="20"/>
              <w:ind w:left="0" w:right="0" w:hanging="180"/>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2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color w:val="000000"/>
                <w:sz w:val="20"/>
              </w:rPr>
            </w:pPr>
            <w:r>
              <w:rPr>
                <w:rFonts w:ascii="Times New Roman;serif" w:hAnsi="Times New Roman;serif"/>
                <w:b/>
                <w:color w:val="000000"/>
                <w:sz w:val="20"/>
              </w:rPr>
              <w:t>$    (37,888)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color w:val="000000"/>
                <w:sz w:val="20"/>
              </w:rPr>
            </w:pPr>
            <w:r>
              <w:rPr>
                <w:rFonts w:ascii="Times New Roman;serif" w:hAnsi="Times New Roman;serif"/>
                <w:b/>
                <w:color w:val="000000"/>
                <w:sz w:val="20"/>
              </w:rPr>
              <w:t>$    12,786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color w:val="000000"/>
                <w:sz w:val="20"/>
              </w:rPr>
            </w:pPr>
            <w:r>
              <w:rPr>
                <w:rFonts w:ascii="Times New Roman;serif" w:hAnsi="Times New Roman;serif"/>
                <w:b/>
                <w:color w:val="000000"/>
                <w:sz w:val="20"/>
              </w:rPr>
              <w:t>$    (50,674)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317" w:type="dxa"/>
            <w:gridSpan w:val="3"/>
            <w:tcBorders/>
            <w:shd w:fill="CCEEFF" w:val="clear"/>
            <w:tcMar>
              <w:top w:w="0" w:type="dxa"/>
              <w:left w:w="0" w:type="dxa"/>
              <w:bottom w:w="0" w:type="dxa"/>
              <w:right w:w="0" w:type="dxa"/>
            </w:tcMar>
            <w:vAlign w:val="center"/>
          </w:tcPr>
          <w:p>
            <w:pPr>
              <w:pStyle w:val="TableContents"/>
              <w:bidi w:val="0"/>
              <w:spacing w:lineRule="auto" w:line="333" w:before="43" w:after="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7" w:type="dxa"/>
            <w:gridSpan w:val="3"/>
            <w:tcBorders/>
            <w:shd w:fill="FFFFFF" w:val="clear"/>
            <w:tcMar>
              <w:top w:w="0" w:type="dxa"/>
              <w:left w:w="0" w:type="dxa"/>
              <w:bottom w:w="0" w:type="dxa"/>
              <w:right w:w="0" w:type="dxa"/>
            </w:tcMar>
            <w:vAlign w:val="center"/>
          </w:tcPr>
          <w:p>
            <w:pPr>
              <w:pStyle w:val="TableContents"/>
              <w:bidi w:val="0"/>
              <w:spacing w:lineRule="auto" w:line="333" w:before="43" w:after="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506    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(27.7)    %</w:t>
            </w:r>
          </w:p>
        </w:tc>
      </w:tr>
      <w:tr>
        <w:trPr/>
        <w:tc>
          <w:tcPr>
            <w:tcW w:w="4317" w:type="dxa"/>
            <w:gridSpan w:val="3"/>
            <w:tcBorders/>
            <w:shd w:fill="CCEEFF" w:val="clear"/>
            <w:tcMar>
              <w:top w:w="0" w:type="dxa"/>
              <w:left w:w="0" w:type="dxa"/>
              <w:bottom w:w="0" w:type="dxa"/>
              <w:right w:w="0" w:type="dxa"/>
            </w:tcMar>
            <w:vAlign w:val="center"/>
          </w:tcPr>
          <w:p>
            <w:pPr>
              <w:pStyle w:val="TableContents"/>
              <w:bidi w:val="0"/>
              <w:spacing w:lineRule="auto" w:line="333" w:before="43" w:after="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Realized loss on cryptocurrency derivatives</w:t>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130    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(100.0)    %</w:t>
            </w:r>
          </w:p>
        </w:tc>
      </w:tr>
      <w:tr>
        <w:trPr/>
        <w:tc>
          <w:tcPr>
            <w:tcW w:w="4317" w:type="dxa"/>
            <w:gridSpan w:val="3"/>
            <w:tcBorders/>
            <w:shd w:fill="FFFFFF" w:val="clear"/>
            <w:tcMar>
              <w:top w:w="0" w:type="dxa"/>
              <w:left w:w="0" w:type="dxa"/>
              <w:bottom w:w="0" w:type="dxa"/>
              <w:right w:w="0" w:type="dxa"/>
            </w:tcMar>
            <w:vAlign w:val="center"/>
          </w:tcPr>
          <w:p>
            <w:pPr>
              <w:pStyle w:val="TableContents"/>
              <w:bidi w:val="0"/>
              <w:spacing w:lineRule="auto" w:line="333" w:before="43" w:after="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on litigation settlement</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(8,079)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8,079    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(100.0)    %</w:t>
            </w:r>
          </w:p>
        </w:tc>
      </w:tr>
      <w:tr>
        <w:trPr/>
        <w:tc>
          <w:tcPr>
            <w:tcW w:w="4317" w:type="dxa"/>
            <w:gridSpan w:val="3"/>
            <w:tcBorders/>
            <w:shd w:fill="CCEEFF" w:val="clear"/>
            <w:tcMar>
              <w:top w:w="0" w:type="dxa"/>
              <w:left w:w="0" w:type="dxa"/>
              <w:bottom w:w="0" w:type="dxa"/>
              <w:right w:w="0" w:type="dxa"/>
            </w:tcMar>
            <w:vAlign w:val="center"/>
          </w:tcPr>
          <w:p>
            <w:pPr>
              <w:pStyle w:val="TableContents"/>
              <w:bidi w:val="0"/>
              <w:spacing w:lineRule="auto" w:line="333" w:before="23" w:after="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506    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(7,509)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8,015    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7" w:type="dxa"/>
            <w:gridSpan w:val="3"/>
            <w:tcBorders/>
            <w:shd w:fill="FFFFFF" w:val="clear"/>
            <w:tcMar>
              <w:top w:w="0" w:type="dxa"/>
              <w:left w:w="0" w:type="dxa"/>
              <w:bottom w:w="0" w:type="dxa"/>
              <w:right w:w="0" w:type="dxa"/>
            </w:tcMar>
            <w:vAlign w:val="center"/>
          </w:tcPr>
          <w:p>
            <w:pPr>
              <w:pStyle w:val="TableContents"/>
              <w:bidi w:val="0"/>
              <w:spacing w:lineRule="auto" w:line="333" w:before="23" w:after="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2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(37,382)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5,277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(42,659)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7" w:type="dxa"/>
            <w:gridSpan w:val="3"/>
            <w:tcBorders/>
            <w:shd w:fill="CCEEFF" w:val="clear"/>
            <w:tcMar>
              <w:top w:w="0" w:type="dxa"/>
              <w:left w:w="0" w:type="dxa"/>
              <w:bottom w:w="0" w:type="dxa"/>
              <w:right w:w="0" w:type="dxa"/>
            </w:tcMar>
            <w:vAlign w:val="center"/>
          </w:tcPr>
          <w:p>
            <w:pPr>
              <w:pStyle w:val="TableContents"/>
              <w:bidi w:val="0"/>
              <w:spacing w:lineRule="auto" w:line="333" w:before="43" w:after="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10,907    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1,394    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9,513    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7" w:type="dxa"/>
            <w:gridSpan w:val="3"/>
            <w:tcBorders/>
            <w:shd w:fill="FFFFFF" w:val="clear"/>
            <w:tcMar>
              <w:top w:w="0" w:type="dxa"/>
              <w:left w:w="0" w:type="dxa"/>
              <w:bottom w:w="0" w:type="dxa"/>
              <w:right w:w="0" w:type="dxa"/>
            </w:tcMar>
            <w:vAlign w:val="center"/>
          </w:tcPr>
          <w:p>
            <w:pPr>
              <w:pStyle w:val="TableContents"/>
              <w:bidi w:val="0"/>
              <w:spacing w:lineRule="auto" w:line="333" w:before="23" w:after="20"/>
              <w:ind w:left="0" w:right="0" w:hanging="180"/>
              <w:jc w:val="left"/>
              <w:rPr>
                <w:rFonts w:ascii="Times New Roman;serif" w:hAnsi="Times New Roman;serif"/>
                <w:b/>
                <w:color w:val="000000"/>
                <w:sz w:val="20"/>
              </w:rPr>
            </w:pPr>
            <w:r>
              <w:rPr>
                <w:rFonts w:ascii="Times New Roman;serif" w:hAnsi="Times New Roman;serif"/>
                <w:b/>
                <w:color w:val="000000"/>
                <w:sz w:val="20"/>
              </w:rPr>
              <w:t>Net income (loss)</w:t>
            </w:r>
          </w:p>
        </w:tc>
        <w:tc>
          <w:tcPr>
            <w:tcW w:w="126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color w:val="000000"/>
                <w:sz w:val="20"/>
              </w:rPr>
            </w:pPr>
            <w:r>
              <w:rPr>
                <w:rFonts w:ascii="Times New Roman;serif" w:hAnsi="Times New Roman;serif"/>
                <w:b/>
                <w:color w:val="000000"/>
                <w:sz w:val="20"/>
              </w:rPr>
              <w:t>$    (48,289)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color w:val="000000"/>
                <w:sz w:val="20"/>
              </w:rPr>
            </w:pPr>
            <w:r>
              <w:rPr>
                <w:rFonts w:ascii="Times New Roman;serif" w:hAnsi="Times New Roman;serif"/>
                <w:b/>
                <w:color w:val="000000"/>
                <w:sz w:val="20"/>
              </w:rPr>
              <w:t>$    3,883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color w:val="000000"/>
                <w:sz w:val="20"/>
              </w:rPr>
            </w:pPr>
            <w:r>
              <w:rPr>
                <w:rFonts w:ascii="Times New Roman;serif" w:hAnsi="Times New Roman;serif"/>
                <w:b/>
                <w:color w:val="000000"/>
                <w:sz w:val="20"/>
              </w:rPr>
              <w:t>$    (52,172)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0"/>
              <w:jc w:val="left"/>
              <w:rPr/>
            </w:pPr>
            <w:r>
              <w:rPr>
                <w:rFonts w:ascii="Arial;sans-serif" w:hAnsi="Arial;sans-serif"/>
                <w:b w:val="false"/>
                <w:color w:val="000000"/>
                <w:sz w:val="20"/>
              </w:rPr>
              <w:t xml:space="preserve">* - </w:t>
            </w:r>
            <w:r>
              <w:rPr>
                <w:rFonts w:ascii="Times New Roman;serif" w:hAnsi="Times New Roman;serif"/>
                <w:b w:val="false"/>
                <w:i/>
                <w:color w:val="000000"/>
                <w:sz w:val="20"/>
              </w:rPr>
              <w:t>not meaningful</w:t>
            </w:r>
          </w:p>
        </w:tc>
      </w:tr>
    </w:tbl>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52"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Revenue </w:t>
      </w:r>
    </w:p>
    <w:p>
      <w:pPr>
        <w:pStyle w:val="TextBody"/>
        <w:bidi w:val="0"/>
        <w:spacing w:lineRule="auto" w:line="333"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Cryptocurrency mining revenues </w:t>
      </w:r>
    </w:p>
    <w:p>
      <w:pPr>
        <w:pStyle w:val="TextBody"/>
        <w:bidi w:val="0"/>
        <w:spacing w:lineRule="auto" w:line="333" w:before="180" w:after="120"/>
        <w:jc w:val="both"/>
        <w:rPr>
          <w:rFonts w:ascii="Times New Roman;serif" w:hAnsi="Times New Roman;serif"/>
          <w:b w:val="false"/>
          <w:color w:val="000000"/>
          <w:sz w:val="20"/>
        </w:rPr>
      </w:pPr>
      <w:r>
        <w:rPr>
          <w:rFonts w:ascii="Times New Roman;serif" w:hAnsi="Times New Roman;serif"/>
          <w:b w:val="false"/>
          <w:color w:val="000000"/>
          <w:sz w:val="20"/>
        </w:rPr>
        <w:t>Cryptocurrency mining revenue for the six months ended June 30, 2026 was $12.2 million compared to $78.3 million for the six months ended June 30, 2025. The $66.1 million, or 84.4%, decrease in cryptocurrency mining revenue was primarily due to a decline in the average price of bitcoin and a reduction in active miners resulting in a reduced average hash rate as compared to the prior period.</w:t>
      </w:r>
    </w:p>
    <w:p>
      <w:pPr>
        <w:pStyle w:val="TextBody"/>
        <w:bidi w:val="0"/>
        <w:spacing w:lineRule="auto" w:line="333" w:before="120" w:after="120"/>
        <w:jc w:val="left"/>
        <w:rPr>
          <w:rFonts w:ascii="Times New Roman;serif" w:hAnsi="Times New Roman;serif"/>
          <w:b w:val="false"/>
          <w:i/>
          <w:color w:val="000000"/>
          <w:sz w:val="20"/>
        </w:rPr>
      </w:pPr>
      <w:r>
        <w:rPr>
          <w:rFonts w:ascii="Times New Roman;serif" w:hAnsi="Times New Roman;serif"/>
          <w:b w:val="false"/>
          <w:i/>
          <w:color w:val="000000"/>
          <w:sz w:val="20"/>
        </w:rPr>
        <w:t>Digital infrastructure leasing revenues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Digital infrastructure leasing revenue consists of revenue earned from leasing arrangements at our owned digital infrastructure site. For the six months ended June 30, 2026 we recognized $87.9 million infrastructure leasing revenue, representing the recognition of revenue associated with the Nscale Agreement. There was no digital infrastructure leasing revenue during the six months ended June 30, 2025.</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Costs of revenues and operating expenses</w:t>
      </w:r>
    </w:p>
    <w:p>
      <w:pPr>
        <w:pStyle w:val="TextBody"/>
        <w:bidi w:val="0"/>
        <w:spacing w:lineRule="auto" w:line="333"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Cost of mining revenues, exclusive of depreciation</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cost of mining revenues, exclusive of depreciation totaled $8.7 million compared with $47.5 million for the six months ended June 30, 2025. The cost of mining revenues, exclusive of depreciation decreased primarily due to the reduction in mining activities as compared to the prior period.</w:t>
      </w:r>
    </w:p>
    <w:p>
      <w:pPr>
        <w:pStyle w:val="TextBody"/>
        <w:bidi w:val="0"/>
        <w:spacing w:lineRule="auto" w:line="333"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Cost of digital infrastructure leasing revenues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Cost of digital infrastructure leasing revenue represents the costs incurred to decommission cryptocurrency mining operations at Ward County in preparation for occupation by the tenant in accordance with the Nscale Agreement, as well as amortization of the initial direct costs of the lease contract and costs to maintain the facilities that are largely passed through to the customer. For the six months ended June 30, 2026, Cost of digital infrastructure leasing revenue was $0.7 million. There were no Cost of digital infrastructure leasing revenue during the six months ended June 30, 2025. </w:t>
      </w:r>
    </w:p>
    <w:p>
      <w:pPr>
        <w:pStyle w:val="TextBody"/>
        <w:bidi w:val="0"/>
        <w:spacing w:lineRule="auto" w:line="333" w:before="120" w:after="120"/>
        <w:jc w:val="both"/>
        <w:rPr>
          <w:rFonts w:ascii="Times New Roman;serif" w:hAnsi="Times New Roman;serif"/>
          <w:b w:val="false"/>
          <w:i/>
          <w:color w:val="000000"/>
          <w:sz w:val="20"/>
        </w:rPr>
      </w:pPr>
      <w:r>
        <w:rPr>
          <w:rFonts w:ascii="Times New Roman;serif" w:hAnsi="Times New Roman;serif"/>
          <w:b w:val="false"/>
          <w:i/>
          <w:color w:val="000000"/>
          <w:sz w:val="20"/>
        </w:rPr>
        <w:t>Depreciation</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Depreciation expense for the six months ended June 30, 2026 totaled $10.5 million, compared with $33.4 million for the six months ended June 30, 2025. The decrease in depreciation expense of 68.6% for the six months ended June 30, 2026 was primarily attributable to the reduction of fixed assets as a result of decommissioning of cryptocurrency mining operations at Ward County during the fourth quarter of 2025 and the subsequent disposal of related assets, including a reduction in our mining fleet. In addition, as of December 31, 2025, the Company recorded an impairment of its fixed assets related to its remaining cryptocurrency mining operations.</w:t>
      </w:r>
    </w:p>
    <w:p>
      <w:pPr>
        <w:pStyle w:val="TextBody"/>
        <w:bidi w:val="0"/>
        <w:spacing w:lineRule="auto" w:line="333" w:before="120" w:after="120"/>
        <w:jc w:val="both"/>
        <w:rPr/>
      </w:pPr>
      <w:r>
        <w:rPr>
          <w:rFonts w:ascii="Times New Roman;serif" w:hAnsi="Times New Roman;serif"/>
          <w:b w:val="false"/>
          <w:i/>
          <w:color w:val="000000"/>
          <w:sz w:val="20"/>
        </w:rPr>
        <w:t>General and administrative (“G&amp;A”) expenses</w:t>
      </w:r>
      <w:r>
        <w:rPr>
          <w:color w:val="000000"/>
        </w:rPr>
        <w:t>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G&amp;A expenses consist of service fees, professional fees, insurance, compensation costs, storage expenses, and sales taxes. G&amp;A expenses of $35.7 million for the six months ended June 30, 2026 represent an increase of 99.4% compared to $17.9 million for the six months ended June 30, 2025. The increase in G&amp;A expenses is primarily due to higher compensation costs and professional fees as compared to the prior period. </w:t>
      </w:r>
    </w:p>
    <w:p>
      <w:pPr>
        <w:pStyle w:val="TextBody"/>
        <w:bidi w:val="0"/>
        <w:spacing w:lineRule="auto" w:line="333" w:before="120" w:after="120"/>
        <w:jc w:val="left"/>
        <w:rPr>
          <w:rFonts w:ascii="Times New Roman;serif" w:hAnsi="Times New Roman;serif"/>
          <w:b w:val="false"/>
          <w:i/>
          <w:color w:val="000000"/>
          <w:sz w:val="20"/>
        </w:rPr>
      </w:pPr>
      <w:r>
        <w:rPr>
          <w:rFonts w:ascii="Times New Roman;serif" w:hAnsi="Times New Roman;serif"/>
          <w:b w:val="false"/>
          <w:i/>
          <w:color w:val="000000"/>
          <w:sz w:val="20"/>
        </w:rPr>
        <w:t>(Gain) loss on fair value of cryptocurrency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We recorded a loss on the fair value of cryptocurrency for the six months ended June 30, 2026 totaling $81.5 million compared with a gain of $1.3 million for the six months ended June 30, 2025. This activity represents the change in fair value of bitcoin held by us between the time the bitcoin was mined and the fair value of bitcoin as of the respective period-end, and reflects the volatility in the price of a bitcoin.</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53" name="Frame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333"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Realized gain on sale of cryptocurrency assets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was no realized gain on sale of cryptocurrency assets for the six months ended June 30, 2026 compared to a gain of $32.4 million for the six months ended June 30, 2025. This is a result of the company not selling any cryptocurrency assets during the current period. </w:t>
      </w:r>
    </w:p>
    <w:p>
      <w:pPr>
        <w:pStyle w:val="TextBody"/>
        <w:bidi w:val="0"/>
        <w:spacing w:lineRule="auto" w:line="333" w:before="120" w:after="120"/>
        <w:jc w:val="both"/>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Other income (expense) consists primarily of interest income, gains and losses related to litigation settlements, gains on investments, and realized and unrealized losses related to derivative contracts. Other income was $0.5 million for the six months ended June 30, 2026 compared to expense of $7.5 million for the six months ended June 30, 2025, with the difference of $8.0 million primarily driven by non-recurring gains in the prior period on a litigation settlement.</w:t>
      </w:r>
    </w:p>
    <w:p>
      <w:pPr>
        <w:pStyle w:val="TextBody"/>
        <w:bidi w:val="0"/>
        <w:spacing w:lineRule="auto" w:line="333" w:before="120" w:after="120"/>
        <w:jc w:val="both"/>
        <w:rPr>
          <w:rFonts w:ascii="Times New Roman;serif" w:hAnsi="Times New Roman;serif"/>
          <w:b w:val="false"/>
          <w:i/>
          <w:color w:val="000000"/>
          <w:sz w:val="20"/>
        </w:rPr>
      </w:pPr>
      <w:r>
        <w:rPr>
          <w:rFonts w:ascii="Times New Roman;serif" w:hAnsi="Times New Roman;serif"/>
          <w:b w:val="false"/>
          <w:i/>
          <w:color w:val="000000"/>
          <w:sz w:val="20"/>
        </w:rPr>
        <w:t>Provision (benefit) for income taxes  </w:t>
      </w:r>
    </w:p>
    <w:p>
      <w:pPr>
        <w:pStyle w:val="TextBody"/>
        <w:bidi w:val="0"/>
        <w:spacing w:lineRule="auto" w:line="319"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the Company changed its methodology for determining interim income tax expense from the estimated annual effective tax rate method to the year-to-date actual effective tax rate method, adjusted for discrete items recognized in the applicable interim period. The change was made because the Company determined it could no longer reliably estimate its annual effective tax rate due primarily to the volatility of bitcoin fair values and the resulting variability in its deferred tax position, together with significant uncertainty in forecasting annual pre-tax income. Additional information regarding this change is included in Note 14 to the condensed consolidated financial statements.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the Company recorded income tax expense (including discrete items) of $10.9 million and $1.4 million, respectively. The increase in income tax expense was primarily attributable to deferred tax expense resulting from increases in the Company's valuation allowance, principally related to deferred tax assets associated with unrealized losses on cryptocurrency holdings.</w:t>
      </w:r>
    </w:p>
    <w:p>
      <w:pPr>
        <w:pStyle w:val="TextBody"/>
        <w:bidi w:val="0"/>
        <w:spacing w:lineRule="auto" w:line="333" w:before="120" w:after="120"/>
        <w:jc w:val="both"/>
        <w:rPr/>
      </w:pPr>
      <w:r>
        <w:rPr>
          <w:rFonts w:ascii="Times New Roman;serif" w:hAnsi="Times New Roman;serif"/>
          <w:b w:val="false"/>
          <w:color w:val="000000"/>
          <w:sz w:val="20"/>
        </w:rPr>
        <w:t>The Company’s effective tax rate (including discrete items) was (29.2)% and 26.4% for the six months ended June 30, 2026 and 2025, respectively. The effective tax rate for the 2026 period differed from the U.S. federal statutory rate of 21%</w:t>
      </w:r>
      <w:r>
        <w:rPr>
          <w:color w:val="000000"/>
        </w:rPr>
        <w:t xml:space="preserve"> </w:t>
      </w:r>
      <w:r>
        <w:rPr>
          <w:rFonts w:ascii="Times New Roman;serif" w:hAnsi="Times New Roman;serif"/>
          <w:b w:val="false"/>
          <w:color w:val="000000"/>
          <w:sz w:val="20"/>
        </w:rPr>
        <w:t xml:space="preserve">primarily due to the valuation allowance recorded against the deferred tax asset associated with unrealized losses on cryptocurrency holdings, as well as permanent differences related to non-deductible officer compensation and non-deductible stock issuance costs. Under ASU 2023-08, changes in the fair value of the Company's cryptocurrency holdings are recognized in earnings but are not taxable until disposition. Any resulting losses would be capital in character and available only to offset capital gains, which the Company does not currently expect to generate in sufficient amounts within the applicable carryforward period to realize the related deferred tax asset. These items resulted in the recognition of income tax expense despite the Company’s pre-tax losses for the period. </w:t>
      </w:r>
    </w:p>
    <w:p>
      <w:pPr>
        <w:pStyle w:val="TextBody"/>
        <w:bidi w:val="0"/>
        <w:spacing w:before="0" w:after="283"/>
        <w:jc w:val="left"/>
        <w:rPr/>
      </w:pPr>
      <w:r>
        <w:rPr/>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54"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jc w:val="both"/>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333" w:before="120" w:after="120"/>
        <w:jc w:val="left"/>
        <w:rPr/>
      </w:pPr>
      <w:r>
        <w:rPr>
          <w:rFonts w:ascii="Times New Roman;serif" w:hAnsi="Times New Roman;serif"/>
          <w:b w:val="false"/>
          <w:color w:val="000000"/>
          <w:sz w:val="20"/>
        </w:rPr>
        <w:t>We use certain financial measures that are not calculated in accordance with generally accepted accounting principles in the U.S. (“GAAP”) to supplement our condensed consolidated financial statements. These non-GAAP financial measures provide additional information to investors to facilitate comparisons of past and present operating results, identify trends in our underlying operating performance, and offer greater transparency on how we evaluate our business activities. These measures are integral to our processes for budgeting, managing operations, making strategic decisions, and evaluating our performance.</w:t>
      </w:r>
      <w:r>
        <w:rPr>
          <w:color w:val="000000"/>
        </w:rPr>
        <w:t xml:space="preserve"> </w:t>
      </w:r>
      <w:r>
        <w:rPr>
          <w:rFonts w:ascii="Times New Roman;serif" w:hAnsi="Times New Roman;serif"/>
          <w:b w:val="false"/>
          <w:color w:val="000000"/>
          <w:sz w:val="20"/>
        </w:rPr>
        <w:t>Our primary non-GAAP financial measures are Adjusted gross profit and Adjusted EBITDA.</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Adjusted gross profit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We define Adjusted gross profit as gross profit exclusive of depreciation. We rely on Adjusted gross profit to evaluate our business, measure our performance, and make strategic decisions. It is used by our Chief Operating Decision Maker (“CODM”) when making decisions regarding the allocation of resources to operating segments.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We believe that the presentation of this non-GAAP financial measure will provide useful information to investors and analysts in assessing the Company’s financial performance by excluding non-cash depreciation expense which is representative of historical investments and which we do not believe is indicative of our current operating performance. Gross profit is the GAAP measure most directly comparable to Adjusted gross profit. Our non-GAAP financial measures should not be considered as an alternative to the most directly comparable GAAP financial measures. You are encouraged to evaluate each of these adjustments and the reasons our management considers them appropriate for supplemental analysis.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a reconciliation of Gross Profit to Adjusted Gross Profit:</w:t>
      </w:r>
    </w:p>
    <w:tbl>
      <w:tblPr>
        <w:tblW w:w="10004" w:type="dxa"/>
        <w:jc w:val="left"/>
        <w:tblInd w:w="0" w:type="dxa"/>
        <w:tblLayout w:type="fixed"/>
        <w:tblCellMar>
          <w:top w:w="28" w:type="dxa"/>
          <w:left w:w="28" w:type="dxa"/>
          <w:bottom w:w="28" w:type="dxa"/>
          <w:right w:w="28" w:type="dxa"/>
        </w:tblCellMar>
      </w:tblPr>
      <w:tblGrid>
        <w:gridCol w:w="1222"/>
        <w:gridCol w:w="1074"/>
        <w:gridCol w:w="1079"/>
        <w:gridCol w:w="425"/>
        <w:gridCol w:w="425"/>
        <w:gridCol w:w="425"/>
        <w:gridCol w:w="208"/>
        <w:gridCol w:w="208"/>
        <w:gridCol w:w="208"/>
        <w:gridCol w:w="425"/>
        <w:gridCol w:w="425"/>
        <w:gridCol w:w="425"/>
        <w:gridCol w:w="109"/>
        <w:gridCol w:w="109"/>
        <w:gridCol w:w="109"/>
        <w:gridCol w:w="425"/>
        <w:gridCol w:w="425"/>
        <w:gridCol w:w="425"/>
        <w:gridCol w:w="178"/>
        <w:gridCol w:w="178"/>
        <w:gridCol w:w="178"/>
        <w:gridCol w:w="386"/>
        <w:gridCol w:w="386"/>
        <w:gridCol w:w="547"/>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in thousands)</w:t>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48,647    </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37,192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100,087    </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78,273    </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(3,269)</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(22,256)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(9,337)</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(47,469)</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(4,903)</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(16,917)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(10,479)</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(33,374)</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(loss)</w:t>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40,475    </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(1,981)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80,271    </w:t>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(2,570)</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4,903    </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16,917    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10,479    </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33,374    </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gross profit</w:t>
            </w:r>
          </w:p>
        </w:tc>
        <w:tc>
          <w:tcPr>
            <w:tcW w:w="1275" w:type="dxa"/>
            <w:gridSpan w:val="3"/>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45,378    </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14,936    </w:t>
            </w:r>
          </w:p>
        </w:tc>
        <w:tc>
          <w:tcPr>
            <w:tcW w:w="327" w:type="dxa"/>
            <w:gridSpan w:val="3"/>
            <w:tcBorders>
              <w:top w:val="single" w:sz="8" w:space="0" w:color="000000"/>
              <w:bottom w:val="double" w:sz="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90,750    </w:t>
            </w:r>
          </w:p>
        </w:tc>
        <w:tc>
          <w:tcPr>
            <w:tcW w:w="534" w:type="dxa"/>
            <w:gridSpan w:val="3"/>
            <w:tcBorders>
              <w:top w:val="single" w:sz="8" w:space="0" w:color="000000"/>
              <w:bottom w:val="double" w:sz="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30,804    </w:t>
            </w:r>
          </w:p>
        </w:tc>
      </w:tr>
    </w:tbl>
    <w:p>
      <w:pPr>
        <w:pStyle w:val="TextBody"/>
        <w:bidi w:val="0"/>
        <w:spacing w:before="0" w:after="120"/>
        <w:jc w:val="both"/>
        <w:rPr/>
      </w:pPr>
      <w:r>
        <w:rPr/>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5" name="Frame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120"/>
        <w:jc w:val="both"/>
        <w:rPr/>
      </w:pPr>
      <w:r>
        <w:rPr/>
      </w:r>
    </w:p>
    <w:p>
      <w:pPr>
        <w:pStyle w:val="TextBody"/>
        <w:bidi w:val="0"/>
        <w:spacing w:lineRule="auto" w:line="333" w:before="0" w:after="120"/>
        <w:jc w:val="both"/>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as net income (loss) before interest, taxes, depreciation, and amortization, further adjusted for certain items that management believes are not indicative of core operating performance, including unrealized gains or losses on energy derivatives and other investments, one-time gains or losses on litigation settlements, stock-based compensation expense, impairment charges on intangible and long-lived assets, costs related to the decommissioning of cryptocurrency mining sites, and other such costs, as detailed in the table below. Additionally, as explained below, beginning with this Quarterly Report, we also adjust Adjusted EBITDA to exclude realized and unrealized gains and losses on digital assets.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We use Adjusted EBITDA to evaluate operating performance, allocate resources, and make strategic decisions, including assessing progress on our transition from bitcoin mining to digital infrastructure leasing. Adjusted EBITDA is used in internal forecasting and budgeting, in evaluating treasury management decisions, and in board-level discussions regarding capital structure, liquidity, and our ability to fund growth initiatives.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Our exclusion of realized and unrealized gains and losses on digital assets from Adjusted EBITDA does not reverse or modify GAAP recognition and measurement principles. We exclude these amounts because they primarily reflect Bitcoin market price fluctuations and treasury management decisions. We view our Bitcoin holdings primarily as investments used to support liquidity and growth initiatives, rather than as components of our operations. Core operating performance is driven by factors such as hashrate performance, energy costs, miner efficiency, uptime, and revenues from digital infrastructure leasing activities. We include digital assets received as revenue at the market price on the date of receipt, as this reflects value realized from core business activities. Decisions to hold or liquidate these assets are investment decisions, distinct from operating performance.</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We present Adjusted EBITDA because we believe it provides useful information to investors and analysts in assessing our historical financial performance. In particular, the exclusion of realized and unrealized gains and losses on digital assets beginning with this Quarterly Report allows investors to evaluate operating performance on a basis more consistent with management’s view of our core business, as we execute our strategic transition.</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Net income (loss) is the GAAP measure most directly comparable to Adjusted EBITDA. This non-GAAP measure should not be considered as an alternative to GAAP measures. We encourage you to evaluate each adjustment and the reasons management considers them appropriate. We may incur similar or unusual items in the future that could affect Adjusted EBITDA, and our presentation should not be construed as an inference that future results will be unaffected by such items. There can be no assurance that we will not modify the presentation of Adjusted EBITDA in the future, and any modification may be material. Adjusted EBITDA has important limitations as an analytical tool and should not be considered in isolation or as a substitute for GAAP results. It may be defined differently by other companies, limiting comparability.</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56" name="Frame5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333" w:before="120" w:after="120"/>
        <w:jc w:val="left"/>
        <w:rPr/>
      </w:pPr>
      <w:r>
        <w:rPr>
          <w:rFonts w:ascii="Times New Roman;serif" w:hAnsi="Times New Roman;serif"/>
          <w:b w:val="false"/>
          <w:color w:val="000000"/>
          <w:sz w:val="20"/>
        </w:rPr>
        <w:t>The following tables provide a reconciliation of Net income (loss) to Adjusted EBITDA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389"/>
        <w:gridCol w:w="791"/>
        <w:gridCol w:w="799"/>
        <w:gridCol w:w="516"/>
        <w:gridCol w:w="516"/>
        <w:gridCol w:w="409"/>
        <w:gridCol w:w="173"/>
        <w:gridCol w:w="173"/>
        <w:gridCol w:w="173"/>
        <w:gridCol w:w="516"/>
        <w:gridCol w:w="516"/>
        <w:gridCol w:w="409"/>
        <w:gridCol w:w="132"/>
        <w:gridCol w:w="132"/>
        <w:gridCol w:w="132"/>
        <w:gridCol w:w="516"/>
        <w:gridCol w:w="516"/>
        <w:gridCol w:w="409"/>
        <w:gridCol w:w="161"/>
        <w:gridCol w:w="161"/>
        <w:gridCol w:w="161"/>
        <w:gridCol w:w="468"/>
        <w:gridCol w:w="468"/>
        <w:gridCol w:w="569"/>
      </w:tblGrid>
      <w:tr>
        <w:trPr/>
        <w:tc>
          <w:tcPr>
            <w:tcW w:w="13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(35,305)</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31,914    </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(48,289)</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3,883    </w:t>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(179)</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(359)</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(506)</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(700)</w:t>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27,248    </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8,787    </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10,907    </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1,394    </w:t>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4,903    </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16,917    </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10,479    </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33,374    </w:t>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5    </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5    </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10    </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10    </w:t>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pPr>
            <w:r>
              <w:rPr>
                <w:rFonts w:ascii="Times New Roman;serif" w:hAnsi="Times New Roman;serif"/>
                <w:b w:val="false"/>
                <w:color w:val="000000"/>
                <w:sz w:val="20"/>
              </w:rPr>
              <w:t>Stock-based compensation expense</w:t>
            </w:r>
            <w:r>
              <w:rPr>
                <w:rFonts w:ascii="Times New Roman;serif" w:hAnsi="Times New Roman;serif"/>
                <w:b w:val="false"/>
                <w:color w:val="000000"/>
                <w:sz w:val="13"/>
              </w:rPr>
              <w:t>(1)</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8,990    </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15,438    </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fair value of cryptocurrency</w:t>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28,204    </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(46,780)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81,527    </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(1,332)</w:t>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sale of cryptocurrency assets</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(14,796)</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(32,410)</w:t>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(gain) on sale of property and equipment</w:t>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847    </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544    </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(21)</w:t>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Direct listing expenses and fees</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1,449    </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1,449    </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Private placement issuance costs</w:t>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1,431    </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1,431    </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pPr>
            <w:r>
              <w:rPr>
                <w:rFonts w:ascii="Times New Roman;serif" w:hAnsi="Times New Roman;serif"/>
                <w:b w:val="false"/>
                <w:color w:val="000000"/>
                <w:sz w:val="20"/>
              </w:rPr>
              <w:t>(Gain) loss on litigation settlement</w:t>
            </w:r>
            <w:r>
              <w:rPr>
                <w:rFonts w:ascii="Times New Roman;serif" w:hAnsi="Times New Roman;serif"/>
                <w:b w:val="false"/>
                <w:color w:val="000000"/>
                <w:sz w:val="13"/>
              </w:rPr>
              <w:t>(2)</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8,079    </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8,079    </w:t>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37,593    </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3,765    </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72,990    </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color w:val="000000"/>
                <w:sz w:val="20"/>
              </w:rPr>
            </w:pPr>
            <w:r>
              <w:rPr>
                <w:rFonts w:ascii="Times New Roman;serif" w:hAnsi="Times New Roman;serif"/>
                <w:b/>
                <w:color w:val="000000"/>
                <w:sz w:val="20"/>
              </w:rPr>
              <w:t>$    12,277    </w:t>
            </w:r>
          </w:p>
        </w:tc>
      </w:tr>
      <w:tr>
        <w:trPr/>
        <w:tc>
          <w:tcPr>
            <w:tcW w:w="2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(1) Stock-based compensation during the three and six months ended June 30, 2026 relates to restricted stock units and performance restricted stock units issued to employees and board members. There was no equivalent activity for the three and six months ended June 30, 2025.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i/>
                <w:color w:val="000000"/>
                <w:sz w:val="20"/>
              </w:rPr>
            </w:pPr>
            <w:r>
              <w:rPr>
                <w:rFonts w:ascii="Times New Roman;serif" w:hAnsi="Times New Roman;serif"/>
                <w:b w:val="false"/>
                <w:i/>
                <w:color w:val="000000"/>
                <w:sz w:val="20"/>
              </w:rPr>
              <w:t>(2) Loss on litigation settlement during the three and six months ended June 30, 2025 reflects a settlement to resolve shareholder actions. There was no equivalent activity for the three and six months ended June 30, 2026.</w:t>
            </w:r>
          </w:p>
        </w:tc>
      </w:tr>
    </w:tbl>
    <w:p>
      <w:pPr>
        <w:pStyle w:val="TextBody"/>
        <w:bidi w:val="0"/>
        <w:spacing w:before="0" w:after="120"/>
        <w:jc w:val="left"/>
        <w:rPr/>
      </w:pPr>
      <w:r>
        <w:rPr/>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57" name="Frame5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120"/>
        <w:jc w:val="left"/>
        <w:rPr/>
      </w:pPr>
      <w:r>
        <w:rPr/>
      </w:r>
    </w:p>
    <w:p>
      <w:pPr>
        <w:pStyle w:val="TextBody"/>
        <w:bidi w:val="0"/>
        <w:spacing w:lineRule="auto" w:line="333" w:before="0" w:after="120"/>
        <w:jc w:val="both"/>
        <w:rPr>
          <w:rFonts w:ascii="Times New Roman;serif" w:hAnsi="Times New Roman;serif"/>
          <w:b/>
          <w:color w:val="000000"/>
          <w:sz w:val="20"/>
        </w:rPr>
      </w:pPr>
      <w:r>
        <w:rPr>
          <w:rFonts w:ascii="Times New Roman;serif" w:hAnsi="Times New Roman;serif"/>
          <w:b/>
          <w:color w:val="000000"/>
          <w:sz w:val="20"/>
        </w:rPr>
        <w:t>Liquidity and Capital Resources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on hand $415.7 million in cash and cash equivalents and 2,882 bitcoin valued at $168.7 million at that date. Our current obligations as of June 30, 2026 totaled $26.3 million and consisted primarily of accrued expenses including transaction costs related to the Private Placement. The Company had no outstanding borrowings as of June 30, 2026.</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We anticipate having sufficient liquidity on hand for the next twelve months from the Private Placement and revenue generated and the sale of accumulated bitcoin to fund operations, the estimated $64 million in capital expenditures ($45 million in 2026 and the remainder in 2027) to upgrade the substation in Ward County, as well as to pursue strategic opportunities. Our ability to liquidate bitcoin earned at future values will be regularly evaluated to generate cash for operations.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We incurred no debt during the six months ended June 30, 2026 or for the year ended December 31, 2025, and we seek to optimize our balance sheet, operations, and liquidity position to meet our immediate cash flow requirements, and will evaluate leveraging opportunities to meet expansion opportunities over the next twelve months. </w:t>
      </w:r>
    </w:p>
    <w:p>
      <w:pPr>
        <w:pStyle w:val="TextBody"/>
        <w:bidi w:val="0"/>
        <w:spacing w:lineRule="auto" w:line="333" w:before="120" w:after="120"/>
        <w:jc w:val="both"/>
        <w:rPr>
          <w:rFonts w:ascii="Times New Roman;serif" w:hAnsi="Times New Roman;serif"/>
          <w:b/>
          <w:color w:val="000000"/>
          <w:sz w:val="20"/>
        </w:rPr>
      </w:pPr>
      <w:r>
        <w:rPr>
          <w:rFonts w:ascii="Times New Roman;serif" w:hAnsi="Times New Roman;serif"/>
          <w:b/>
          <w:color w:val="000000"/>
          <w:sz w:val="20"/>
        </w:rPr>
        <w:t>Cash Flows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we had a net increase in cash and cash equivalents of $372.2 million and net decrease of $11.1 million, respectively. The following table summarizes our cash flow activity for the periods presented:</w:t>
      </w:r>
    </w:p>
    <w:tbl>
      <w:tblPr>
        <w:tblW w:w="8587" w:type="dxa"/>
        <w:jc w:val="left"/>
        <w:tblInd w:w="0" w:type="dxa"/>
        <w:tblLayout w:type="fixed"/>
        <w:tblCellMar>
          <w:top w:w="28" w:type="dxa"/>
          <w:left w:w="28" w:type="dxa"/>
          <w:bottom w:w="28" w:type="dxa"/>
          <w:right w:w="28" w:type="dxa"/>
        </w:tblCellMar>
      </w:tblPr>
      <w:tblGrid>
        <w:gridCol w:w="1977"/>
        <w:gridCol w:w="1738"/>
        <w:gridCol w:w="1744"/>
        <w:gridCol w:w="425"/>
        <w:gridCol w:w="425"/>
        <w:gridCol w:w="425"/>
        <w:gridCol w:w="178"/>
        <w:gridCol w:w="178"/>
        <w:gridCol w:w="178"/>
        <w:gridCol w:w="386"/>
        <w:gridCol w:w="386"/>
        <w:gridCol w:w="547"/>
      </w:tblGrid>
      <w:tr>
        <w:trPr/>
        <w:tc>
          <w:tcPr>
            <w:tcW w:w="1977"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in thousands)</w:t>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(25,935)</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(71,255)</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(1,837)</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60,107    </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400,000</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 for the period</w:t>
            </w:r>
          </w:p>
        </w:tc>
        <w:tc>
          <w:tcPr>
            <w:tcW w:w="127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372,228    </w:t>
            </w:r>
          </w:p>
        </w:tc>
        <w:tc>
          <w:tcPr>
            <w:tcW w:w="534"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(11,148)</w:t>
            </w:r>
          </w:p>
        </w:tc>
      </w:tr>
    </w:tbl>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Operating Activities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results from payments made to operate the mining business, particularly to hosting and energy providers, as well as tax payments, general and administrative expenses, and repairs and maintenance to mining equipment. Historically, these expenses are not offset by our revenues, as consideration from the mining pool operator is received in bitcoin rather than cash. The $25.9 million net cash used in operating activities during the six months ended June 30, 2026, represents a net loss of $48.3 million adjusted for non-cash items including cryptocurrency mining revenue received in bitcoin, depreciation of our miners and other long-lived assets placed in service, change in the fair value of bitcoin held in treasury, an increase in the deferred tax expense, and stock compensation expense. Other material changes to our use of cash in operating activities during the six months ended June 30, 2026 include a decrease in deferred revenue resulting from the recognition of digital infrastructure solutions revenue at our Ward County facility. See “Results of Operations” for further information about the modifications to our business strategy that are driving these non-cash impacts. </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used $1.8 million for investing activities, primarily for purchases of property and equipment, partially offset by proceeds from the disposal of assets held for sale.</w:t>
      </w:r>
    </w:p>
    <w:p>
      <w:pPr>
        <w:pStyle w:val="TextBody"/>
        <w:bidi w:val="0"/>
        <w:spacing w:lineRule="auto" w:line="333" w:before="120" w:after="120"/>
        <w:jc w:val="both"/>
        <w:rPr>
          <w:rFonts w:ascii="Times New Roman;serif" w:hAnsi="Times New Roman;serif"/>
          <w:b/>
          <w:i/>
          <w:color w:val="000000"/>
          <w:sz w:val="20"/>
        </w:rPr>
      </w:pPr>
      <w:r>
        <w:rPr>
          <w:rFonts w:ascii="Times New Roman;serif" w:hAnsi="Times New Roman;serif"/>
          <w:b/>
          <w:i/>
          <w:color w:val="000000"/>
          <w:sz w:val="20"/>
        </w:rPr>
        <w:t>Financing Activities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Company’s net cash from financing activities was a result of $400 million proceeds from the Private Placement.</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885"/>
                <wp:effectExtent l="0" t="0" r="0" b="0"/>
                <wp:wrapNone/>
                <wp:docPr id="58" name="Frame5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333" w:before="120" w:after="120"/>
        <w:jc w:val="both"/>
        <w:rPr>
          <w:rFonts w:ascii="Times New Roman;serif" w:hAnsi="Times New Roman;serif"/>
          <w:b/>
          <w:color w:val="000000"/>
          <w:sz w:val="20"/>
        </w:rPr>
      </w:pPr>
      <w:r>
        <w:rPr>
          <w:rFonts w:ascii="Times New Roman;serif" w:hAnsi="Times New Roman;serif"/>
          <w:b/>
          <w:color w:val="000000"/>
          <w:sz w:val="20"/>
        </w:rPr>
        <w:t>Contractual Obligations, Commitments and Contingencies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Refer to Note 15 to our condensed consolidated financial statements for further information regarding the Company’s commitments and contingencies.</w:t>
      </w:r>
    </w:p>
    <w:p>
      <w:pPr>
        <w:pStyle w:val="TextBody"/>
        <w:bidi w:val="0"/>
        <w:spacing w:lineRule="auto" w:line="333" w:before="120" w:after="120"/>
        <w:jc w:val="both"/>
        <w:rPr>
          <w:rFonts w:ascii="Times New Roman;serif" w:hAnsi="Times New Roman;serif"/>
          <w:b/>
          <w:color w:val="000000"/>
          <w:sz w:val="20"/>
        </w:rPr>
      </w:pPr>
      <w:r>
        <w:rPr>
          <w:rFonts w:ascii="Times New Roman;serif" w:hAnsi="Times New Roman;serif"/>
          <w:b/>
          <w:color w:val="000000"/>
          <w:sz w:val="20"/>
        </w:rPr>
        <w:t>Critical Accounting Policies and Estimates </w:t>
      </w:r>
    </w:p>
    <w:p>
      <w:pPr>
        <w:pStyle w:val="TextBody"/>
        <w:bidi w:val="0"/>
        <w:spacing w:lineRule="auto" w:line="333" w:before="0" w:after="0"/>
        <w:jc w:val="both"/>
        <w:rPr/>
      </w:pPr>
      <w:r>
        <w:rPr>
          <w:rFonts w:ascii="Times New Roman;serif" w:hAnsi="Times New Roman;serif"/>
          <w:b w:val="false"/>
          <w:color w:val="000000"/>
          <w:sz w:val="20"/>
        </w:rPr>
        <w:t>Our critical accounting policies and estimates are described in “Management’s Discussion and Analysis of Financial Condition and Results of Operations” in our Prospectus.</w:t>
      </w:r>
      <w:r>
        <w:rPr>
          <w:color w:val="000000"/>
        </w:rPr>
        <w:t xml:space="preserve"> </w:t>
      </w:r>
      <w:r>
        <w:rPr>
          <w:rFonts w:ascii="Times New Roman;serif" w:hAnsi="Times New Roman;serif"/>
          <w:b w:val="false"/>
          <w:color w:val="000000"/>
          <w:sz w:val="20"/>
        </w:rPr>
        <w:t xml:space="preserve">We believe there have been no new critical accounting policies or material changes to our existing critical accounting policies and estimates compared to those discussed in our registration statement. </w:t>
      </w:r>
    </w:p>
    <w:p>
      <w:pPr>
        <w:pStyle w:val="TextBody"/>
        <w:bidi w:val="0"/>
        <w:spacing w:lineRule="auto" w:line="333" w:before="0" w:after="2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revenue is primarily driven by a 126 month arrangement with Nscale, a global hyperscaler, (“Nscale Agreement”) to lease its Ward County facility for use in the HPC/AI sector. In connection with the Nscale Agreement, Nscale provided a guarantee from (i) NVIDIA Corporation in the aggregate face amount equal to the rent payable in the first five years (up to a maximum amount of $860.3 million) and (ii) Nscale’s parent company in the aggregate face amount equal to the rent payable from and after the commencement of the sixth year. In addition, if Nscale were to become insolvent, its anchor customer may elect within 30 days to step-into the Nscale Agreement for the remainder of the term.</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Within the cryptocurrency mining business, revenue earned is less stable as it is impacted by the value of bitcoin rewards and transaction fees earned by mining. As such, the Company is affected by fluctuations and long-term trends in the value of bitcoin. Bitcoin has its own unique dynamic in terms of valuation, reward rates and similar factors. Any of these factors could lead to material adverse changes in the market for bitcoin, which could in turn result in substantial damage to our business.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A 10% increase or decrease in the weighted average market value of bitcoin for the three months ended June 30, 2026 would have increased or decreased cryptocurrency mining revenue by $0.5 million, which would not have had a material effect on total revenue for the current period, while a 10% increase or decrease in the weighted average market value of bitcoin for the three months ended June 30, 2025 would have had a material impact of increasing or decreasing revenue by $3.7 million. As we continue to prepare our assets for their highest and best use by the HPC/AI sector, we believe we will continue to see a decline in the impact that bitcoin market fluctuations have on our overall revenue earnings.</w:t>
      </w:r>
    </w:p>
    <w:p>
      <w:pPr>
        <w:pStyle w:val="TextBody"/>
        <w:bidi w:val="0"/>
        <w:spacing w:before="0" w:after="120"/>
        <w:jc w:val="both"/>
        <w:rPr/>
      </w:pPr>
      <w:r>
        <w:rPr/>
      </w:r>
    </w:p>
    <w:tbl>
      <w:tblPr>
        <w:tblW w:w="9530" w:type="dxa"/>
        <w:jc w:val="left"/>
        <w:tblInd w:w="0" w:type="dxa"/>
        <w:tblLayout w:type="fixed"/>
        <w:tblCellMar>
          <w:top w:w="28" w:type="dxa"/>
          <w:left w:w="28" w:type="dxa"/>
          <w:bottom w:w="28" w:type="dxa"/>
          <w:right w:w="28" w:type="dxa"/>
        </w:tblCellMar>
      </w:tblPr>
      <w:tblGrid>
        <w:gridCol w:w="1046"/>
        <w:gridCol w:w="922"/>
        <w:gridCol w:w="926"/>
        <w:gridCol w:w="109"/>
        <w:gridCol w:w="109"/>
        <w:gridCol w:w="109"/>
        <w:gridCol w:w="670"/>
        <w:gridCol w:w="670"/>
        <w:gridCol w:w="670"/>
        <w:gridCol w:w="670"/>
        <w:gridCol w:w="670"/>
        <w:gridCol w:w="670"/>
        <w:gridCol w:w="670"/>
        <w:gridCol w:w="670"/>
        <w:gridCol w:w="949"/>
      </w:tblGrid>
      <w:tr>
        <w:trPr/>
        <w:tc>
          <w:tcPr>
            <w:tcW w:w="104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9" w:type="dxa"/>
            <w:gridSpan w:val="9"/>
            <w:tcBorders/>
            <w:tcMar>
              <w:top w:w="0" w:type="dxa"/>
              <w:left w:w="0" w:type="dxa"/>
              <w:bottom w:w="0" w:type="dxa"/>
              <w:right w:w="0" w:type="dxa"/>
            </w:tcMar>
            <w:vAlign w:val="center"/>
          </w:tcPr>
          <w:p>
            <w:pPr>
              <w:pStyle w:val="TableContents"/>
              <w:bidi w:val="0"/>
              <w:spacing w:lineRule="auto" w:line="240" w:before="43" w:after="283"/>
              <w:jc w:val="center"/>
              <w:rPr>
                <w:rFonts w:ascii="Times New Roman;serif" w:hAnsi="Times New Roman;serif"/>
                <w:b/>
                <w:color w:val="000000"/>
                <w:sz w:val="20"/>
              </w:rPr>
            </w:pPr>
            <w:r>
              <w:rPr>
                <w:rFonts w:ascii="Times New Roman;serif" w:hAnsi="Times New Roman;serif"/>
                <w:b/>
                <w:color w:val="000000"/>
                <w:sz w:val="20"/>
              </w:rPr>
              <w:t>Impact of Bitcoin Price Changes on Cryptocurrency Mining Revenue, net</w:t>
            </w:r>
          </w:p>
          <w:p>
            <w:pPr>
              <w:pStyle w:val="TableContents"/>
              <w:bidi w:val="0"/>
              <w:spacing w:lineRule="auto" w:line="240" w:before="0" w:after="20"/>
              <w:jc w:val="center"/>
              <w:rPr>
                <w:rFonts w:ascii="Times New Roman;serif" w:hAnsi="Times New Roman;serif"/>
                <w:b/>
                <w:i/>
                <w:color w:val="000000"/>
                <w:sz w:val="20"/>
              </w:rPr>
            </w:pPr>
            <w:r>
              <w:rPr>
                <w:rFonts w:ascii="Times New Roman;serif" w:hAnsi="Times New Roman;serif"/>
                <w:b/>
                <w:i/>
                <w:color w:val="000000"/>
                <w:sz w:val="20"/>
              </w:rPr>
              <w:t>($ in millions)</w:t>
            </w:r>
          </w:p>
        </w:tc>
      </w:tr>
      <w:tr>
        <w:trPr/>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in Average Bitcoin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3" w:after="283"/>
              <w:jc w:val="center"/>
              <w:rPr>
                <w:rFonts w:ascii="Times New Roman;serif" w:hAnsi="Times New Roman;serif"/>
                <w:b/>
                <w:color w:val="000000"/>
                <w:sz w:val="20"/>
              </w:rPr>
            </w:pPr>
            <w:r>
              <w:rPr>
                <w:rFonts w:ascii="Times New Roman;serif" w:hAnsi="Times New Roman;serif"/>
                <w:b/>
                <w:color w:val="000000"/>
                <w:sz w:val="20"/>
              </w:rPr>
              <w:t>Three Months Ended</w:t>
            </w:r>
          </w:p>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June 30, 2026</w:t>
            </w:r>
          </w:p>
        </w:tc>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3" w:after="283"/>
              <w:jc w:val="center"/>
              <w:rPr>
                <w:rFonts w:ascii="Times New Roman;serif" w:hAnsi="Times New Roman;serif"/>
                <w:b/>
                <w:color w:val="000000"/>
                <w:sz w:val="20"/>
              </w:rPr>
            </w:pPr>
            <w:r>
              <w:rPr>
                <w:rFonts w:ascii="Times New Roman;serif" w:hAnsi="Times New Roman;serif"/>
                <w:b/>
                <w:color w:val="000000"/>
                <w:sz w:val="20"/>
              </w:rPr>
              <w:t>Three Months Ended</w:t>
            </w:r>
          </w:p>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$(0.96)</w:t>
            </w:r>
          </w:p>
        </w:tc>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$(7.44)</w:t>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$(0.48)</w:t>
            </w:r>
          </w:p>
        </w:tc>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$(3.72)</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$0.48</w:t>
            </w:r>
          </w:p>
        </w:tc>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$3.72</w:t>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$0.96</w:t>
            </w:r>
          </w:p>
        </w:tc>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$7.44</w:t>
            </w:r>
          </w:p>
        </w:tc>
      </w:tr>
    </w:tbl>
    <w:p>
      <w:pPr>
        <w:pStyle w:val="TextBody"/>
        <w:bidi w:val="0"/>
        <w:spacing w:before="0" w:after="120"/>
        <w:jc w:val="left"/>
        <w:rPr/>
      </w:pPr>
      <w:r>
        <w:rPr/>
      </w:r>
    </w:p>
    <w:p>
      <w:pPr>
        <w:pStyle w:val="TextBody"/>
        <w:bidi w:val="0"/>
        <w:spacing w:lineRule="auto" w:line="333" w:before="0" w:after="20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333" w:before="120" w:after="120"/>
        <w:jc w:val="both"/>
        <w:rPr>
          <w:rFonts w:ascii="Times New Roman;serif" w:hAnsi="Times New Roman;serif"/>
          <w:b/>
          <w:color w:val="000000"/>
          <w:sz w:val="20"/>
        </w:rPr>
      </w:pPr>
      <w:r>
        <w:rPr>
          <w:rFonts w:ascii="Times New Roman;serif" w:hAnsi="Times New Roman;serif"/>
          <w:b/>
          <w:color w:val="000000"/>
          <w:sz w:val="20"/>
        </w:rPr>
        <w:t>Limitation on Effectiveness of Controls and Procedures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885"/>
                <wp:effectExtent l="0" t="0" r="0" b="0"/>
                <wp:wrapNone/>
                <wp:docPr id="59" name="Frame5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333" w:before="120" w:after="12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conducted an evaluation of the effectiveness of the design and operation of our disclosure controls and procedures, as defined in Rules 13a-15(e) and 15d-15(e) under the Exchange Act of 1934 (the "Exchange Act"), as of the end of the period covered by this Quarterly Report on Form 10-Q. Based on the evaluation of our disclosure controls and procedures, our Chief Executive Officer and Chief Financial Officer concluded that our disclosure controls and procedures were not effective at the reasonable assurance level as of June 30, 2026 due to the material weaknesses in our internal control over financial reporting described below.</w:t>
      </w:r>
    </w:p>
    <w:p>
      <w:pPr>
        <w:pStyle w:val="TextBody"/>
        <w:bidi w:val="0"/>
        <w:spacing w:lineRule="auto" w:line="333" w:before="120" w:after="120"/>
        <w:jc w:val="both"/>
        <w:rPr>
          <w:rFonts w:ascii="Times New Roman;serif" w:hAnsi="Times New Roman;serif"/>
          <w:b/>
          <w:color w:val="000000"/>
          <w:sz w:val="20"/>
        </w:rPr>
      </w:pPr>
      <w:r>
        <w:rPr>
          <w:rFonts w:ascii="Times New Roman;serif" w:hAnsi="Times New Roman;serif"/>
          <w:b/>
          <w:color w:val="000000"/>
          <w:sz w:val="20"/>
        </w:rPr>
        <w:t>Previously Reported Material Weaknesses in Internal Control Over Financial Reporting</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combination of deficiencies in our internal control over financial reporting such that there is a reasonable possibility that a material misstatement of our annual or interim consolidated financial statements would not be prevented or detected on a timely basis.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disclosed in the section titled "Risk Factors" in our S-1, we previously identified material weaknesses in our internal control over financial reporting: (1) lack of effective controls related to the accounting for mining revenue, bitcoin held, and the related gains and losses, (2) lack of effective IT controls over user access reviews, administrative access, segregation of duties, and change management in the our general ledger system; (3) lack of effective controls over the evaluation of goodwill impairment; and (4) lack of effective controls over the accounting for fixed assets held for use.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concluded that these material weaknesses existed because we did not have the necessary business processes, systems, personnel and related internal controls. The deficiencies identified did not result in a material misstatement to our financial statements.</w:t>
      </w:r>
    </w:p>
    <w:p>
      <w:pPr>
        <w:pStyle w:val="TextBody"/>
        <w:bidi w:val="0"/>
        <w:spacing w:lineRule="auto" w:line="333" w:before="120" w:after="120"/>
        <w:jc w:val="both"/>
        <w:rPr>
          <w:rFonts w:ascii="Times New Roman;serif" w:hAnsi="Times New Roman;serif"/>
          <w:b/>
          <w:color w:val="000000"/>
          <w:sz w:val="20"/>
        </w:rPr>
      </w:pPr>
      <w:r>
        <w:rPr>
          <w:rFonts w:ascii="Times New Roman;serif" w:hAnsi="Times New Roman;serif"/>
          <w:b/>
          <w:color w:val="000000"/>
          <w:sz w:val="20"/>
        </w:rPr>
        <w:t>Remediation Efforts to Address Previously Identified Material Weaknesses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material weaknesses described above arose because as a private company prior to our IPO, coupled with the rapid growth in our business, we did not have the business processes, systems, personnel, and related internal controls necessary to satisfy the accounting and financial reporting requirements of a public company.</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taken, and will continue to take action, to remediate these material weaknesses, including:</w:t>
      </w:r>
    </w:p>
    <w:p>
      <w:pPr>
        <w:pStyle w:val="TextBody"/>
        <w:bidi w:val="0"/>
        <w:spacing w:lineRule="auto" w:line="333" w:before="120" w:after="120"/>
        <w:ind w:left="0" w:right="0" w:hanging="360"/>
        <w:jc w:val="both"/>
        <w:rPr/>
      </w:pPr>
      <w:r>
        <w:rPr>
          <w:color w:val="000000"/>
        </w:rPr>
        <w:t>•</w:t>
      </w:r>
      <w:r>
        <w:rPr>
          <w:rFonts w:ascii="Times New Roman;serif" w:hAnsi="Times New Roman;serif"/>
          <w:b w:val="false"/>
          <w:color w:val="000000"/>
          <w:sz w:val="20"/>
        </w:rPr>
        <w:t>engagement with external consultants with extensive Sarbanes-Oxley Act experience;</w:t>
      </w:r>
    </w:p>
    <w:p>
      <w:pPr>
        <w:pStyle w:val="TextBody"/>
        <w:bidi w:val="0"/>
        <w:spacing w:lineRule="auto" w:line="333" w:before="120" w:after="120"/>
        <w:ind w:left="0" w:right="0" w:hanging="360"/>
        <w:jc w:val="both"/>
        <w:rPr/>
      </w:pPr>
      <w:r>
        <w:rPr>
          <w:color w:val="000000"/>
        </w:rPr>
        <w:t>•</w:t>
      </w:r>
      <w:r>
        <w:rPr>
          <w:rFonts w:ascii="Times New Roman;serif" w:hAnsi="Times New Roman;serif"/>
          <w:b w:val="false"/>
          <w:color w:val="000000"/>
          <w:sz w:val="20"/>
        </w:rPr>
        <w:t>implementation of IT general controls to manage access and program changes within our IT environment and to support the evaluation, monitoring, and ongoing effectiveness of key application controls and key reports;</w:t>
      </w:r>
    </w:p>
    <w:p>
      <w:pPr>
        <w:pStyle w:val="TextBody"/>
        <w:bidi w:val="0"/>
        <w:spacing w:lineRule="auto" w:line="333" w:before="120" w:after="120"/>
        <w:ind w:left="0" w:right="0" w:hanging="360"/>
        <w:jc w:val="both"/>
        <w:rPr/>
      </w:pPr>
      <w:r>
        <w:rPr>
          <w:color w:val="000000"/>
        </w:rPr>
        <w:t>•</w:t>
      </w:r>
      <w:r>
        <w:rPr>
          <w:rFonts w:ascii="Times New Roman;serif" w:hAnsi="Times New Roman;serif"/>
          <w:b w:val="false"/>
          <w:color w:val="000000"/>
          <w:sz w:val="20"/>
        </w:rPr>
        <w:t>continued hiring of additional accounting, finance and operations resources with appropriate and sufficient technical expertise; and</w:t>
      </w:r>
    </w:p>
    <w:p>
      <w:pPr>
        <w:pStyle w:val="TextBody"/>
        <w:bidi w:val="0"/>
        <w:spacing w:lineRule="auto" w:line="333" w:before="120" w:after="120"/>
        <w:ind w:left="0" w:right="0" w:hanging="360"/>
        <w:jc w:val="both"/>
        <w:rPr/>
      </w:pPr>
      <w:r>
        <w:rPr>
          <w:color w:val="000000"/>
        </w:rPr>
        <w:t>•</w:t>
      </w:r>
      <w:r>
        <w:rPr>
          <w:rFonts w:ascii="Times New Roman;serif" w:hAnsi="Times New Roman;serif"/>
          <w:b w:val="false"/>
          <w:color w:val="000000"/>
          <w:sz w:val="20"/>
        </w:rPr>
        <w:t>consulting with experts on technical accounting matters, internal controls, and in the preparation of our financial statements.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We believe we are making progress toward achieving effectiveness of our internal control over financial reporting. We will continue to monitor the effectiveness of these remediation measures and will make further changes as management determines to be appropriate. The material weaknesses will not be considered remediated until the applicable controls operate for a sufficient period of time and management has concluded, through testing, that these controls are designed and operating effectively. We cannot provide any assurance that these remediation efforts will be effective or that additional material weaknesses will not be identified in the future. We may also conclude that additional measures are required to remediate the material weaknesses in our internal control over financial reporting.</w:t>
      </w:r>
    </w:p>
    <w:p>
      <w:pPr>
        <w:pStyle w:val="TextBody"/>
        <w:bidi w:val="0"/>
        <w:spacing w:before="0" w:after="283"/>
        <w:jc w:val="left"/>
        <w:rPr/>
      </w:pPr>
      <w:r>
        <w:rPr/>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885"/>
                <wp:effectExtent l="0" t="0" r="0" b="0"/>
                <wp:wrapNone/>
                <wp:docPr id="60" name="Frame5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20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lineRule="auto" w:line="333" w:before="12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Refer to Note 15 to our condensed consolidated financial statements for further information regarding the Company’s commitments and contingencies.</w:t>
      </w:r>
    </w:p>
    <w:p>
      <w:pPr>
        <w:pStyle w:val="TextBody"/>
        <w:bidi w:val="0"/>
        <w:spacing w:lineRule="auto" w:line="333" w:before="12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You should carefully consider the risk factors discussed in “Risk Factors” in the Prospectus, which could materially affect our business, financial condition, or future results. There have been no material changes in our risk factors from those disclosed in the Prospectus.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The risks described in the Prospectus are not the only risks facing the Company. You should also consider any risks and uncertainties described under the caption “Risk Factors” in any periodic report or other document that we file with or furnish to the SEC. Additional risks and uncertainties not currently known to us or that we currently deem to be immaterial also may materially adversely affect our business, financial condition and/or operating results.</w:t>
      </w:r>
    </w:p>
    <w:p>
      <w:pPr>
        <w:pStyle w:val="TextBody"/>
        <w:bidi w:val="0"/>
        <w:spacing w:lineRule="auto" w:line="333" w:before="0" w:after="2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312" w:before="120" w:after="120"/>
        <w:jc w:val="both"/>
        <w:rPr>
          <w:rFonts w:ascii="Times New Roman;serif" w:hAnsi="Times New Roman;serif"/>
          <w:b w:val="false"/>
          <w:color w:val="000000"/>
          <w:sz w:val="20"/>
        </w:rPr>
      </w:pPr>
      <w:r>
        <w:rPr>
          <w:rFonts w:ascii="Times New Roman;serif" w:hAnsi="Times New Roman;serif"/>
          <w:b w:val="false"/>
          <w:color w:val="000000"/>
          <w:sz w:val="20"/>
        </w:rPr>
        <w:t>On June 26, 2026, we entered into a private placement transaction (the “Private Placement”) pursuant to securities purchase agreements (the “Securities Purchase Agreements”), to sell an aggregate of (i) 7,547,166 shares of Series A convertible preferred stock, par value $0.00001 per share (the “Series A Preferred Stock”), at a price of $53.00 per share, (ii) warrants to purchase an aggregate of 1,006,286 shares of Class A common stock at an exercise price of $63.60 per share, (iii) warrants to purchase an aggregate of 1,006,286 shares of Class A common stock at an exercise price of $74.20 per share, and (iv) warrants to purchase an aggregate of 1,006,286 shares of Class A common stock at an exercise price of $87.45 per share (the warrants described in clauses (ii) through (iv), collectively, the “Warrants”) to certain institutional accredited investors (the “Investors”) for an aggregate purchase price of $400.0 million, before an estimated $16.8 million in transaction fees. This transaction closed on June 30, 2026.</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Also in June 2026, we issued 40,000 shares of non-economic Series Z preferred stock for aggregate consideration of $0.40. The Series Z preferred stock was issued in reliance on the exemption from registration provided by Section 4(a)(2) of the Securities Act, based on the absence of a public offering and the sophistication of the purchaser. The shares were redeemed following our 2026 annual meeting of stockholders, which occurred on July 13, 2026.</w:t>
      </w:r>
    </w:p>
    <w:p>
      <w:pPr>
        <w:pStyle w:val="TextBody"/>
        <w:bidi w:val="0"/>
        <w:spacing w:before="120" w:after="120"/>
        <w:jc w:val="both"/>
        <w:rPr/>
      </w:pPr>
      <w:r>
        <w:rPr/>
      </w:r>
    </w:p>
    <w:p>
      <w:pPr>
        <w:pStyle w:val="TextBody"/>
        <w:bidi w:val="0"/>
        <w:spacing w:lineRule="auto" w:line="333" w:before="120" w:after="1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333" w:before="120" w:after="12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333" w:before="12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Executive Severance Plan</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27, 2026, the Board of Directors of the Company (the “Board”), upon the recommendation of the Compensation Committee of the Board, approved and adopted the Ionic Digital Inc. Executive Severance Plan (the “Executive Severance Plan”). The Executive Severance Plan provides severance and related benefits to a select group of the Company’s executives and key employees, including our executive officers. Our executive officers are considered Tier 1 participants under the Executive Severance Plan. </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885"/>
                <wp:effectExtent l="0" t="0" r="0" b="0"/>
                <wp:wrapNone/>
                <wp:docPr id="61" name="Frame6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Upon a termination without cause or a resignation for good reason other than during the 24 month period following a change of control, Tier 1 participants are entitled to base salary continuation for 12 months, COBRA premium reimbursement for up to 12 months, any earned but unpaid prior-year bonus, and a pro-rated annual bonus for the year of termination based on actual performance that is payable when bonuses are paid to executives generally; however, if such termination occurs within 24 months following a change of control, Tier 1 participants instead receive continuation payments for 12 months equal to 12 months of base salary plus their target bonus, COBRA premium reimbursement for up to 12 months, any earned but unpaid prior-year bonus, a pro-rated annual bonus for the year of termination based on their target bonus, and full accelerated vesting of any equity awards granted after the Executive Severance Plan's effective date. </w:t>
      </w:r>
    </w:p>
    <w:p>
      <w:pPr>
        <w:pStyle w:val="TextBody"/>
        <w:bidi w:val="0"/>
        <w:spacing w:lineRule="auto" w:line="333" w:before="120" w:after="120"/>
        <w:jc w:val="both"/>
        <w:rPr>
          <w:rFonts w:ascii="Times New Roman;serif" w:hAnsi="Times New Roman;serif"/>
          <w:b w:val="false"/>
          <w:color w:val="000000"/>
          <w:sz w:val="20"/>
        </w:rPr>
      </w:pPr>
      <w:r>
        <w:rPr>
          <w:rFonts w:ascii="Times New Roman;serif" w:hAnsi="Times New Roman;serif"/>
          <w:b w:val="false"/>
          <w:color w:val="000000"/>
          <w:sz w:val="20"/>
        </w:rPr>
        <w:t>Continued payment of severance benefits under the Executive Severance Plan are conditioned upon the participant's execution of a general release of claims and continued compliance with applicable restrictive covenants.</w:t>
      </w:r>
    </w:p>
    <w:p>
      <w:pPr>
        <w:pStyle w:val="TextBody"/>
        <w:bidi w:val="0"/>
        <w:spacing w:lineRule="auto" w:line="333" w:before="120" w:after="120"/>
        <w:jc w:val="both"/>
        <w:rPr>
          <w:rFonts w:ascii="Times New Roman;serif" w:hAnsi="Times New Roman;serif"/>
          <w:b/>
          <w:color w:val="000000"/>
          <w:sz w:val="20"/>
        </w:rPr>
      </w:pPr>
      <w:r>
        <w:rPr>
          <w:rFonts w:ascii="Times New Roman;serif" w:hAnsi="Times New Roman;serif"/>
          <w:b/>
          <w:color w:val="000000"/>
          <w:sz w:val="20"/>
        </w:rPr>
        <w:t>PRSU Amendment</w:t>
      </w:r>
    </w:p>
    <w:p>
      <w:pPr>
        <w:pStyle w:val="TextBody"/>
        <w:bidi w:val="0"/>
        <w:spacing w:lineRule="auto" w:line="333" w:before="120" w:after="120"/>
        <w:jc w:val="both"/>
        <w:rPr/>
      </w:pPr>
      <w:r>
        <w:rPr>
          <w:rFonts w:ascii="Times New Roman;serif" w:hAnsi="Times New Roman;serif"/>
          <w:b w:val="false"/>
          <w:color w:val="000000"/>
          <w:sz w:val="20"/>
        </w:rPr>
        <w:t xml:space="preserve">On August 27, 2026, the Board, upon the recommendation of the Compensation Committee, approved and adopted an omnibus amendment to all outstanding performance restricted stock unit (“PRSU”) awards under the Ionic Digital Inc. Omnibus Incentive Plan. The omnibus amendment amends outstanding PRSUs providing that, following achievement of the applicable performance metrics, the PRSUs will vest upon the PRSU recipient’s termination of employment or service by the Company without Cause, or by the PRSU recipient for Good Reason, even if such termination occurs prior to the end of the six month period that the PRSU recipient must remain employed or engaged in order to </w:t>
      </w:r>
      <w:r>
        <w:rPr>
          <w:rFonts w:ascii="Times New Roman;serif" w:hAnsi="Times New Roman;serif"/>
          <w:b w:val="false"/>
          <w:color w:val="000000"/>
          <w:sz w:val="24"/>
        </w:rPr>
        <w:t xml:space="preserve">vest. </w:t>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885"/>
                <wp:effectExtent l="0" t="0" r="0" b="0"/>
                <wp:wrapNone/>
                <wp:docPr id="62" name="Frame6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333" w:before="0" w:after="20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05"/>
        <w:gridCol w:w="267"/>
        <w:gridCol w:w="268"/>
        <w:gridCol w:w="109"/>
        <w:gridCol w:w="109"/>
        <w:gridCol w:w="109"/>
        <w:gridCol w:w="1695"/>
        <w:gridCol w:w="1541"/>
        <w:gridCol w:w="1557"/>
        <w:gridCol w:w="109"/>
        <w:gridCol w:w="109"/>
        <w:gridCol w:w="109"/>
        <w:gridCol w:w="195"/>
        <w:gridCol w:w="195"/>
        <w:gridCol w:w="196"/>
        <w:gridCol w:w="109"/>
        <w:gridCol w:w="109"/>
        <w:gridCol w:w="109"/>
        <w:gridCol w:w="278"/>
        <w:gridCol w:w="278"/>
        <w:gridCol w:w="258"/>
        <w:gridCol w:w="109"/>
        <w:gridCol w:w="109"/>
        <w:gridCol w:w="109"/>
        <w:gridCol w:w="245"/>
        <w:gridCol w:w="245"/>
        <w:gridCol w:w="246"/>
        <w:gridCol w:w="109"/>
        <w:gridCol w:w="109"/>
        <w:gridCol w:w="109"/>
        <w:gridCol w:w="232"/>
        <w:gridCol w:w="232"/>
        <w:gridCol w:w="337"/>
      </w:tblGrid>
      <w:tr>
        <w:trPr/>
        <w:tc>
          <w:tcPr>
            <w:tcW w:w="30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3" w:after="20"/>
              <w:jc w:val="left"/>
              <w:rPr/>
            </w:pPr>
            <w:hyperlink r:id="rId3">
              <w:r>
                <w:rPr>
                  <w:rStyle w:val="InternetLink"/>
                  <w:rFonts w:ascii="Times New Roman;serif" w:hAnsi="Times New Roman;serif"/>
                  <w:b w:val="false"/>
                  <w:color w:val="000000"/>
                  <w:sz w:val="20"/>
                  <w:u w:val="single"/>
                </w:rPr>
                <w:t>Amended and Restated Certificate of Incorporation of Ionic Digital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333-297125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2026</w:t>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40" w:before="43" w:after="20"/>
              <w:jc w:val="left"/>
              <w:rPr/>
            </w:pPr>
            <w:hyperlink r:id="rId4">
              <w:r>
                <w:rPr>
                  <w:rStyle w:val="InternetLink"/>
                  <w:rFonts w:ascii="Times New Roman;serif" w:hAnsi="Times New Roman;serif"/>
                  <w:b w:val="false"/>
                  <w:color w:val="000000"/>
                  <w:sz w:val="20"/>
                  <w:u w:val="single"/>
                </w:rPr>
                <w:t>Amended and Restated Bylaws of Ionic Digital Inc. (Effective February 13,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333-297125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2026</w:t>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40" w:before="43" w:after="20"/>
              <w:jc w:val="left"/>
              <w:rPr/>
            </w:pPr>
            <w:hyperlink r:id="rId5">
              <w:r>
                <w:rPr>
                  <w:rStyle w:val="InternetLink"/>
                  <w:rFonts w:ascii="Times New Roman;serif" w:hAnsi="Times New Roman;serif"/>
                  <w:b w:val="false"/>
                  <w:color w:val="000000"/>
                  <w:sz w:val="20"/>
                  <w:u w:val="single"/>
                </w:rPr>
                <w:t>Certificate of Designation of Series Z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333-297125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13, 2026</w:t>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40" w:before="43" w:after="20"/>
              <w:jc w:val="left"/>
              <w:rPr/>
            </w:pPr>
            <w:hyperlink r:id="rId6">
              <w:r>
                <w:rPr>
                  <w:rStyle w:val="InternetLink"/>
                  <w:rFonts w:ascii="Times New Roman;serif" w:hAnsi="Times New Roman;serif"/>
                  <w:b w:val="false"/>
                  <w:color w:val="000000"/>
                  <w:sz w:val="20"/>
                  <w:u w:val="single"/>
                </w:rPr>
                <w:t>Certificate of Designation of Series A Convertible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333-297125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2026</w:t>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40" w:before="43" w:after="20"/>
              <w:jc w:val="left"/>
              <w:rPr/>
            </w:pPr>
            <w:hyperlink r:id="rId7">
              <w:r>
                <w:rPr>
                  <w:rStyle w:val="InternetLink"/>
                  <w:rFonts w:ascii="Times New Roman;serif" w:hAnsi="Times New Roman;serif"/>
                  <w:b w:val="false"/>
                  <w:color w:val="000000"/>
                  <w:sz w:val="20"/>
                  <w:u w:val="single"/>
                </w:rPr>
                <w:t>Form of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333-297125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13, 2026</w:t>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40" w:before="43" w:after="20"/>
              <w:jc w:val="left"/>
              <w:rPr/>
            </w:pPr>
            <w:hyperlink r:id="rId8">
              <w:r>
                <w:rPr>
                  <w:rStyle w:val="InternetLink"/>
                  <w:rFonts w:ascii="Times New Roman;serif" w:hAnsi="Times New Roman;serif"/>
                  <w:b w:val="false"/>
                  <w:color w:val="000000"/>
                  <w:sz w:val="20"/>
                  <w:u w:val="single"/>
                </w:rPr>
                <w:t>Form of Indemnification Agreement of Ionic Digital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333-297125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13, 2026</w:t>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40" w:before="43" w:after="20"/>
              <w:jc w:val="left"/>
              <w:rPr/>
            </w:pPr>
            <w:hyperlink r:id="rId9">
              <w:r>
                <w:rPr>
                  <w:rStyle w:val="InternetLink"/>
                  <w:rFonts w:ascii="Times New Roman;serif" w:hAnsi="Times New Roman;serif"/>
                  <w:b w:val="false"/>
                  <w:color w:val="000000"/>
                  <w:sz w:val="20"/>
                  <w:u w:val="single"/>
                </w:rPr>
                <w:t>Form of Securities Purchase Agreement, dated June 26,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333-297125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2026</w:t>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40" w:before="43" w:after="20"/>
              <w:jc w:val="left"/>
              <w:rPr/>
            </w:pPr>
            <w:hyperlink r:id="rId10">
              <w:r>
                <w:rPr>
                  <w:rStyle w:val="InternetLink"/>
                  <w:rFonts w:ascii="Times New Roman;serif" w:hAnsi="Times New Roman;serif"/>
                  <w:b w:val="false"/>
                  <w:color w:val="000000"/>
                  <w:sz w:val="20"/>
                  <w:u w:val="single"/>
                </w:rPr>
                <w:t>Registration Rights Agreement, dated June 26, 2026, by and among Ionic Digital Inc. and the Investors named therein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333-297125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2026</w:t>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40" w:before="43" w:after="20"/>
              <w:jc w:val="left"/>
              <w:rPr/>
            </w:pPr>
            <w:hyperlink r:id="rId11">
              <w:r>
                <w:rPr>
                  <w:rStyle w:val="InternetLink"/>
                  <w:rFonts w:ascii="Times New Roman;serif" w:hAnsi="Times New Roman;serif"/>
                  <w:b w:val="false"/>
                  <w:color w:val="000000"/>
                  <w:sz w:val="20"/>
                  <w:u w:val="single"/>
                </w:rPr>
                <w:t>Series Z Preferred Stock Purchase and Voting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333-297125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13, 2026</w:t>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333" w:before="43" w:after="20"/>
              <w:jc w:val="left"/>
              <w:rPr/>
            </w:pPr>
            <w:hyperlink r:id="rId12">
              <w:r>
                <w:rPr>
                  <w:rStyle w:val="InternetLink"/>
                  <w:rFonts w:ascii="Times New Roman;serif" w:hAnsi="Times New Roman;serif"/>
                  <w:b w:val="false"/>
                  <w:color w:val="000000"/>
                  <w:sz w:val="20"/>
                  <w:u w:val="single"/>
                </w:rPr>
                <w:t>Ionic Digital Inc. Executive Severance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r:id="rId13">
              <w:r>
                <w:rPr>
                  <w:rStyle w:val="InternetLink"/>
                  <w:rFonts w:ascii="Times New Roman;serif" w:hAnsi="Times New Roman;serif"/>
                  <w:b w:val="false"/>
                  <w:color w:val="000000"/>
                  <w:sz w:val="20"/>
                  <w:u w:val="single"/>
                </w:rPr>
                <w:t>Omnibus Amendment to Ionic Digital Inc. Omnibus Incentive Plan Performance Restricted Stock Unit Award Grant Notices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333" w:before="43" w:after="20"/>
              <w:jc w:val="left"/>
              <w:rPr/>
            </w:pPr>
            <w:hyperlink r:id="rId14">
              <w:r>
                <w:rPr>
                  <w:rStyle w:val="InternetLink"/>
                  <w:rFonts w:ascii="Times New Roman;serif" w:hAnsi="Times New Roman;serif"/>
                  <w:b w:val="false"/>
                  <w:color w:val="000000"/>
                  <w:sz w:val="20"/>
                  <w:u w:val="single"/>
                </w:rPr>
                <w:t>Custodial Services Agreement, dated June 18 2024, between Ionic Digital Treasury Inc. and Fidelity Digital Asset Services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333" w:before="43" w:after="20"/>
              <w:jc w:val="left"/>
              <w:rPr/>
            </w:pPr>
            <w:hyperlink r:id="rId15">
              <w:r>
                <w:rPr>
                  <w:rStyle w:val="InternetLink"/>
                  <w:rFonts w:ascii="Times New Roman;serif" w:hAnsi="Times New Roman;serif"/>
                  <w:b w:val="false"/>
                  <w:color w:val="000000"/>
                  <w:sz w:val="20"/>
                  <w:u w:val="single"/>
                </w:rPr>
                <w:t>Certification of Principal Executive Officer of Ionic Digital Inc. pursuant to Rule 13a</w:t>
                <w:noBreakHyphen/>
                <w:t>14(a)/15d</w:t>
                <w:noBreakHyphen/>
                <w:t>14(a) of the Securities Exchange Act of 1934, as adopted pursuant to Section 302 of the Sarbanes</w:t>
                <w:noBreakHyphen/>
                <w:t>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333" w:before="43" w:after="20"/>
              <w:jc w:val="left"/>
              <w:rPr/>
            </w:pPr>
            <w:hyperlink r:id="rId16">
              <w:r>
                <w:rPr>
                  <w:rStyle w:val="InternetLink"/>
                  <w:rFonts w:ascii="Times New Roman;serif" w:hAnsi="Times New Roman;serif"/>
                  <w:b w:val="false"/>
                  <w:color w:val="000000"/>
                  <w:sz w:val="20"/>
                  <w:u w:val="single"/>
                </w:rPr>
                <w:t>Certification of Principal Financial Officer of Ionic Digital Inc. pursuant to Rule 13a</w:t>
                <w:noBreakHyphen/>
                <w:t>14(a)/15d</w:t>
                <w:noBreakHyphen/>
                <w:t>14(a) of the Securities Exchange Act of 1934, as adopted pursuant to Section 302 of the Sarbanes</w:t>
                <w:noBreakHyphen/>
                <w:t>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333" w:before="43" w:after="20"/>
              <w:jc w:val="left"/>
              <w:rPr/>
            </w:pPr>
            <w:hyperlink r:id="rId17">
              <w:r>
                <w:rPr>
                  <w:rStyle w:val="InternetLink"/>
                  <w:rFonts w:ascii="Times New Roman;serif" w:hAnsi="Times New Roman;serif"/>
                  <w:b w:val="false"/>
                  <w:color w:val="000000"/>
                  <w:sz w:val="20"/>
                  <w:u w:val="single"/>
                </w:rPr>
                <w:t>Certification of Principal Executive Officer of Ionic Digital Inc. pursuant to 18 U.S.C. § 1350, as adopted pursuant to Section 906 of the Sarbanes</w:t>
                <w:noBreakHyphen/>
                <w:t>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333" w:before="43" w:after="20"/>
              <w:jc w:val="left"/>
              <w:rPr/>
            </w:pPr>
            <w:hyperlink r:id="rId18">
              <w:r>
                <w:rPr>
                  <w:rStyle w:val="InternetLink"/>
                  <w:rFonts w:ascii="Times New Roman;serif" w:hAnsi="Times New Roman;serif"/>
                  <w:b w:val="false"/>
                  <w:color w:val="0000FF"/>
                  <w:sz w:val="20"/>
                  <w:u w:val="single"/>
                </w:rPr>
                <w:t>Certification of Principal Financial Officer of Ionic Digital Inc. pursuant to 18 U.S.C. § 1350, as adopted pursuant to Section 906 of the Sarbanes</w:t>
                <w:noBreakHyphen/>
                <w:t>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Instance Document </w:t>
              <w:noBreakHyphen/>
              <w:t xml:space="preserve">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With Embedded Linkbase Documents.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35"/>
        <w:gridCol w:w="2906"/>
        <w:gridCol w:w="40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40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Indicates a management contract or compensatory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confidential portions (indicated by brackets and asterisks) have been omitted from this exhibit because such information is both (i) non-material and (ii) would be competitively harmful if publicly disclosed.</w:t>
            </w:r>
          </w:p>
        </w:tc>
      </w:tr>
    </w:tbl>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885"/>
                <wp:effectExtent l="0" t="0" r="0" b="0"/>
                <wp:wrapNone/>
                <wp:docPr id="63" name="Frame6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283"/>
        <w:jc w:val="left"/>
        <w:rPr/>
      </w:pPr>
      <w:r>
        <w:rPr/>
      </w:r>
    </w:p>
    <w:p>
      <w:pPr>
        <w:pStyle w:val="TextBody"/>
        <w:bidi w:val="0"/>
        <w:spacing w:lineRule="auto" w:line="333" w:before="0" w:after="120"/>
        <w:jc w:val="left"/>
        <w:rPr/>
      </w:pPr>
      <w:hyperlink w:anchor="i46b0af08129b49d18354cd596143d483_45">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885"/>
                <wp:effectExtent l="0" t="0" r="0" b="0"/>
                <wp:wrapNone/>
                <wp:docPr id="64" name="Frame6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333" w:before="0" w:after="0"/>
        <w:jc w:val="left"/>
        <w:rPr>
          <w:color w:val="000000"/>
        </w:rPr>
      </w:pPr>
      <w:r>
        <w:rPr>
          <w:color w:val="000000"/>
        </w:rPr>
        <w:t> </w:t>
      </w:r>
    </w:p>
    <w:tbl>
      <w:tblPr>
        <w:tblW w:w="5570" w:type="dxa"/>
        <w:jc w:val="left"/>
        <w:tblInd w:w="0" w:type="dxa"/>
        <w:tblLayout w:type="fixed"/>
        <w:tblCellMar>
          <w:top w:w="28" w:type="dxa"/>
          <w:left w:w="28" w:type="dxa"/>
          <w:bottom w:w="28" w:type="dxa"/>
          <w:right w:w="28" w:type="dxa"/>
        </w:tblCellMar>
      </w:tblPr>
      <w:tblGrid>
        <w:gridCol w:w="764"/>
        <w:gridCol w:w="673"/>
        <w:gridCol w:w="677"/>
        <w:gridCol w:w="317"/>
        <w:gridCol w:w="317"/>
        <w:gridCol w:w="317"/>
        <w:gridCol w:w="729"/>
        <w:gridCol w:w="729"/>
        <w:gridCol w:w="1047"/>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IONIC DIGITAL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 2026</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Andy Stewart</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Andy Stewart</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0"/>
        <w:jc w:val="left"/>
        <w:rPr/>
      </w:pPr>
      <w:r>
        <w:rPr/>
      </w:r>
    </w:p>
    <w:tbl>
      <w:tblPr>
        <w:tblW w:w="6388" w:type="dxa"/>
        <w:jc w:val="left"/>
        <w:tblInd w:w="0" w:type="dxa"/>
        <w:tblLayout w:type="fixed"/>
        <w:tblCellMar>
          <w:top w:w="28" w:type="dxa"/>
          <w:left w:w="28" w:type="dxa"/>
          <w:bottom w:w="28" w:type="dxa"/>
          <w:right w:w="28" w:type="dxa"/>
        </w:tblCellMar>
      </w:tblPr>
      <w:tblGrid>
        <w:gridCol w:w="764"/>
        <w:gridCol w:w="673"/>
        <w:gridCol w:w="677"/>
        <w:gridCol w:w="134"/>
        <w:gridCol w:w="134"/>
        <w:gridCol w:w="136"/>
        <w:gridCol w:w="1131"/>
        <w:gridCol w:w="1131"/>
        <w:gridCol w:w="1608"/>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 Hickman</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 Hickman</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Accounting and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885"/>
                <wp:effectExtent l="0" t="0" r="0" b="0"/>
                <wp:wrapNone/>
                <wp:docPr id="65" name="Frame6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007691/000118518526002704/ionicdigiex3-1.htm" TargetMode="External"/><Relationship Id="rId4" Type="http://schemas.openxmlformats.org/officeDocument/2006/relationships/hyperlink" Target="https://www.sec.gov/Archives/edgar/data/2007691/000118518526002704/ionicdigiex3-2.htm" TargetMode="External"/><Relationship Id="rId5" Type="http://schemas.openxmlformats.org/officeDocument/2006/relationships/hyperlink" Target="https://www.sec.gov/Archives/edgar/data/2007691/000118518526002919/ionicdigiex3-3.htm" TargetMode="External"/><Relationship Id="rId6" Type="http://schemas.openxmlformats.org/officeDocument/2006/relationships/hyperlink" Target="https://www.sec.gov/Archives/edgar/data/2007691/000118518526002704/ionicdigiex3-4.htm" TargetMode="External"/><Relationship Id="rId7" Type="http://schemas.openxmlformats.org/officeDocument/2006/relationships/hyperlink" Target="https://www.sec.gov/Archives/edgar/data/2007691/000118518526002919/ionicdigiex4-1.htm" TargetMode="External"/><Relationship Id="rId8" Type="http://schemas.openxmlformats.org/officeDocument/2006/relationships/hyperlink" Target="https://www.sec.gov/Archives/edgar/data/2007691/000118518526002919/ionicdigiex10-4.htm" TargetMode="External"/><Relationship Id="rId9" Type="http://schemas.openxmlformats.org/officeDocument/2006/relationships/hyperlink" Target="https://www.sec.gov/Archives/edgar/data/2007691/000118518526002704/ionicdigiex10-19.htm" TargetMode="External"/><Relationship Id="rId10" Type="http://schemas.openxmlformats.org/officeDocument/2006/relationships/hyperlink" Target="https://www.sec.gov/Archives/edgar/data/2007691/000118518526002704/ionicdigiex10-20.htm" TargetMode="External"/><Relationship Id="rId11" Type="http://schemas.openxmlformats.org/officeDocument/2006/relationships/hyperlink" Target="https://www.sec.gov/Archives/edgar/data/2007691/000118518526002919/ionicdigiex10-21.htm" TargetMode="External"/><Relationship Id="rId12" Type="http://schemas.openxmlformats.org/officeDocument/2006/relationships/hyperlink" Target="https://www.sec.gov/Archives/edgar/data/2007691/000200769126000012/a105ionicdigitalincexecuti.htm" TargetMode="External"/><Relationship Id="rId13" Type="http://schemas.openxmlformats.org/officeDocument/2006/relationships/hyperlink" Target="https://www.sec.gov/Archives/edgar/data/2007691/000200769126000012/a106omnibusamendmenttoince.htm" TargetMode="External"/><Relationship Id="rId14" Type="http://schemas.openxmlformats.org/officeDocument/2006/relationships/hyperlink" Target="https://www.sec.gov/Archives/edgar/data/2007691/000200769126000012/a107custodialservicesagree.htm" TargetMode="External"/><Relationship Id="rId15" Type="http://schemas.openxmlformats.org/officeDocument/2006/relationships/hyperlink" Target="https://www.sec.gov/Archives/edgar/data/2007691/000200769126000012/a10-qexhibit311q22026.htm" TargetMode="External"/><Relationship Id="rId16" Type="http://schemas.openxmlformats.org/officeDocument/2006/relationships/hyperlink" Target="https://www.sec.gov/Archives/edgar/data/2007691/000200769126000012/a10-qexhibit312q22026.htm" TargetMode="External"/><Relationship Id="rId17" Type="http://schemas.openxmlformats.org/officeDocument/2006/relationships/hyperlink" Target="https://www.sec.gov/Archives/edgar/data/2007691/000200769126000012/a10-qexhibit321q22026.htm" TargetMode="External"/><Relationship Id="rId18" Type="http://schemas.openxmlformats.org/officeDocument/2006/relationships/hyperlink" Target="https://www.sec.gov/Archives/edgar/data/2007691/000200769126000012/a10-qexhibit322q22026.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64</Pages>
  <Words>22977</Words>
  <Characters>127532</Characters>
  <CharactersWithSpaces>154610</CharactersWithSpaces>
  <Paragraphs>2189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