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CARSON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2"/>
        <w:gridCol w:w="771"/>
        <w:gridCol w:w="599"/>
        <w:gridCol w:w="350"/>
        <w:gridCol w:w="975"/>
        <w:gridCol w:w="459"/>
        <w:gridCol w:w="621"/>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46,545</w:t>
            </w:r>
            <w:r>
              <w:rPr>
                <w:rFonts w:ascii="Times;serif" w:hAnsi="Times;serif"/>
                <w:color w:val="008000"/>
                <w:position w:val="7"/>
                <w:sz w:val="16"/>
                <w:sz w:val="20"/>
                <w:shd w:fill="FFFFFF" w:val="clear"/>
              </w:rPr>
              <w:t>(1)(2)(3)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93,090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performance-vesting restricted stock units (the "PRSUs") under the Ionic Digital Inc. Omnibus Incentive Plan. Each PRSU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139,636 PRSUs were granted in 2026 and may vest based on the average daily weighted stock price of the Company's Class A common stock over a 60-calendar-day period ("AWDSP") reaching certain thresholds, provided that the reporting person remains employed through the date of the achievement of the applicable threshold and for 6 months afterward (or, alternatively, under a "change of control" at certain valuation thresholds, provided that the reporting person remains employed through the date of the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29, 2026, the compensation committee of the Issuer's board of directors certified that, based on the AWDSP and the valuation methodology set forth in the PRSU award agreement, the $2.5 billion threshold had been achieved, resulting in 46,545 of these PRSUs being earned; these PRSUs are scheduled to vest on March 25, 2027, subject to the reporting person's continued employment with the Issuer and the terms of the award, as amended. The remaining 93,091 PRSUs remain outstanding and may be earned upon achievement of the applicable performance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Carson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ionicex24-1.htm"/>
      <w:bookmarkStart w:id="3" w:name="ksionic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Jon Cinocca, Beth Burkholder, and Chris Hickman signing singly,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an officer, director and/or holder of 10% or more of a registered class of securities of Ionic Digital Inc. (the “Company”), Forms 3, 4 and 5 in accordance with Section 16(a) of the Securities Exchange Act of 1934, as amended, and the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complete and execute any such Form 3, 4 and 5, complete and execute any amendment or amendments thereto, and timely file such forms or amendments with the United States Securities and Exchange Commission and any stock exchange or similar authority, as required;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with respect to the undersigned until the earliest to occur of (a) such date that the undersigned is no longer required to file Forms 3, 4 and 5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WITNESS WHEREOF, the undersigned has caused this Power of Attorney to be executed as of this 20th day</w:t>
      </w:r>
      <w:r>
        <w:rPr>
          <w:rFonts w:ascii="Times New Roman;Times;Serif" w:hAnsi="Times New Roman;Times;Serif"/>
          <w:b w:val="false"/>
          <w:i w:val="false"/>
          <w:caps w:val="false"/>
          <w:smallCaps w:val="false"/>
          <w:sz w:val="20"/>
        </w:rPr>
        <w:t xml:space="preserve"> of July 2026.</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28" w:type="dxa"/>
          <w:right w:w="0" w:type="dxa"/>
        </w:tblCellMar>
      </w:tblPr>
      <w:tblGrid>
        <w:gridCol w:w="1535"/>
        <w:gridCol w:w="60"/>
        <w:gridCol w:w="1085"/>
      </w:tblGrid>
      <w:tr>
        <w:trPr/>
        <w:tc>
          <w:tcPr>
            <w:tcW w:w="15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Carson</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07/20/2026 </w:t>
            </w:r>
            <w:r>
              <w:rPr>
                <w:rFonts w:ascii="Times New Roman;Times;Serif" w:hAnsi="Times New Roman;Times;Serif"/>
                <w:b w:val="false"/>
                <w:i w:val="false"/>
                <w:caps w:val="false"/>
                <w:smallCaps w:val="false"/>
                <w:color w:val="FFFFFF"/>
                <w:sz w:val="20"/>
              </w:rPr>
              <w:t>.</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6728" TargetMode="External"/><Relationship Id="rId5" Type="http://schemas.openxmlformats.org/officeDocument/2006/relationships/hyperlink" Target="http://www.sec.gov/cgi-bin/browse-edgar?action=getcompany&amp;CIK=0002007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1305</Words>
  <Characters>6909</Characters>
  <CharactersWithSpaces>8139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