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DiFiore Thomas Albert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393"/>
        <w:gridCol w:w="1955"/>
        <w:gridCol w:w="1164"/>
        <w:gridCol w:w="269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39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9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37,375</w:t>
            </w:r>
            <w:r>
              <w:rPr>
                <w:rFonts w:ascii="Times;serif" w:hAnsi="Times;serif"/>
                <w:color w:val="008000"/>
                <w:position w:val="7"/>
                <w:sz w:val="16"/>
                <w:sz w:val="20"/>
                <w:shd w:fill="FFFFFF" w:val="clear"/>
              </w:rPr>
              <w:t>(1)</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29,673</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2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THOMAS DIFIORE CHILDRENS GST INVESTMENT IRRV TR</w:t>
            </w:r>
          </w:p>
        </w:tc>
      </w:tr>
      <w:tr>
        <w:trPr/>
        <w:tc>
          <w:tcPr>
            <w:tcW w:w="4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20,148</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2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DIFIORE ASA IRREVOCABLE GST TRUST</w:t>
            </w:r>
          </w:p>
        </w:tc>
      </w:tr>
      <w:tr>
        <w:trPr/>
        <w:tc>
          <w:tcPr>
            <w:tcW w:w="4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26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DIFIORE TSA IRREVOCABLE GST TRUST</w:t>
            </w:r>
          </w:p>
        </w:tc>
      </w:tr>
      <w:tr>
        <w:trPr/>
        <w:tc>
          <w:tcPr>
            <w:tcW w:w="4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26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24,917 restricted stock units ("RSUs") under the Ionic Digital Inc. Omnibus Incentive Plan. Each RSU represents a contingent right to receive one share of Class A common stock. The RSUs vest in two annual installments on the date of the 2027 annual stockholder meeting and the 2028 annual stockholder meeting, subject to continued service as a director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settlor, but not the trustee, of the THOMAS DIFIORE CHILDREN'S GST INVESTMENT IRREVOCABLE TRUST ("Children's Trust"), the DIFIORE ASA IRREVOCABLE GST TRUST ("ASA Trust"), and the DIFIORE TSA IRREVOCABLE GST TRUST ("TSA Trust"). He has no voting or dispositive power over any shares held by these trusts. With respect to the TSA Trust, the reporting person is the sole beneficiary and may be deemed to have a pecuniary interest in the shares held by that trust; accordingly, he disclaims beneficial ownership of such shares except to the extent of his pecuniary interest therein. With respect to the Children's Trust and the ASA Trust, the reporting person is not a beneficiary and disclaims beneficial ownership of the shares held by those trusts. The inclusion of any such shares herein shall not be construed as an admission by the reporting person that he is the beneficial owner thereof for purposes of Section 16 of the Securities Exchange Act of 1934, as amended.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Albert DiFiore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848" TargetMode="External"/><Relationship Id="rId3" Type="http://schemas.openxmlformats.org/officeDocument/2006/relationships/hyperlink" Target="http://www.sec.gov/cgi-bin/browse-edgar?action=getcompany&amp;CIK=0002007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3679</Characters>
  <CharactersWithSpaces>4308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