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Piraino Antonio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2"/>
        <w:gridCol w:w="771"/>
        <w:gridCol w:w="599"/>
        <w:gridCol w:w="350"/>
        <w:gridCol w:w="975"/>
        <w:gridCol w:w="459"/>
        <w:gridCol w:w="621"/>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32,711</w:t>
            </w:r>
            <w:r>
              <w:rPr>
                <w:rFonts w:ascii="Times;serif" w:hAnsi="Times;serif"/>
                <w:color w:val="008000"/>
                <w:position w:val="7"/>
                <w:sz w:val="16"/>
                <w:sz w:val="20"/>
                <w:shd w:fill="FFFFFF" w:val="clear"/>
              </w:rPr>
              <w:t>(1)(2)(3)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65,423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performance-vesting restricted stock units (the "PRSUs") under the Ionic Digital Inc. Omnibus Incentive Plan. Each PRSU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98,135 PRSUs were granted in 2026 and may vest based on the average daily weighted stock price of the Company's Class A common stock over a 60-calendar-day period ("AWDSP") reaching certain thresholds, provided that the reporting person remains employed through the date of the achievement of the applicable threshold and for 6 months afterward (or, alternatively, under a "change of control" at certain valuation thresholds, provided that the reporting person remains employed through the date of the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29, 2026, the compensation committee of the Issuer's board of directors certified that, based on the AWDSP and the valuation methodology set forth in the PRSU award agreement, the $2.5 billion threshold had been achieved, resulting in 32,711 of these PRSUs being earned; these PRSUs are scheduled to vest on March 25, 2027, subject to the reporting person's continued employment with the Issuer and the terms of the award, as amended. The remaining 65,424 PRSUs remain outstanding and may be earned upon achievement of the applicable performance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Carson, as attorney-in-fact for Antonio Piraino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ionicex24-1.htm"/>
      <w:bookmarkStart w:id="3" w:name="ksionic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Richard Carson, Jon Cinocca, Beth Burkholder, and Chris Hickman signing singly,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an officer, director and/or holder of 10% or more of a registered class of securities of Ionic Digital Inc. (the “Company”), Forms 3, 4 and 5 in accordance with Section 16(a) of the Securities Exchange Act of 1934, as amended, and the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 3, 4 and 5, complete and execute any amendment or amendments thereto, and timely file such forms or amendments with the United States Securities and Exchange Commission and any stock exchange or similar authority, as required;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with respect to the undersigned until the earliest to occur of (a) such date that the undersigned is no longer required to file Forms 3, 4 and 5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WITNESS WHEREOF, the undersigned has caused this Power of Attorney to be executed as of this 20th day</w:t>
      </w:r>
      <w:r>
        <w:rPr>
          <w:rFonts w:ascii="Times New Roman;Times;Serif" w:hAnsi="Times New Roman;Times;Serif"/>
          <w:b w:val="false"/>
          <w:i w:val="false"/>
          <w:caps w:val="false"/>
          <w:smallCaps w:val="false"/>
          <w:sz w:val="20"/>
        </w:rPr>
        <w:t xml:space="preserve"> of July 2026.</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28" w:type="dxa"/>
          <w:right w:w="0" w:type="dxa"/>
        </w:tblCellMar>
      </w:tblPr>
      <w:tblGrid>
        <w:gridCol w:w="1820"/>
        <w:gridCol w:w="60"/>
        <w:gridCol w:w="1115"/>
      </w:tblGrid>
      <w:tr>
        <w:trPr/>
        <w:tc>
          <w:tcPr>
            <w:tcW w:w="1820" w:type="dxa"/>
            <w:tcBorders>
              <w:bottom w:val="single" w:sz="8" w:space="0" w:color="000000"/>
            </w:tcBorders>
            <w:vAlign w:val="center"/>
          </w:tcPr>
          <w:p>
            <w:pPr>
              <w:pStyle w:val="TableContents"/>
              <w:bidi w:val="0"/>
              <w:spacing w:before="0" w:after="283"/>
              <w:jc w:val="left"/>
              <w:rPr/>
            </w:pPr>
            <w:r>
              <w:rPr/>
              <w:t>/s/ Antonio Piraino</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07/20/2026</w:t>
            </w:r>
          </w:p>
        </w:tc>
      </w:tr>
      <w:tr>
        <w:trPr/>
        <w:tc>
          <w:tcPr>
            <w:tcW w:w="1820" w:type="dxa"/>
            <w:tcBorders/>
            <w:tcMar>
              <w:bottom w:w="0" w:type="dxa"/>
            </w:tcMar>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Date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377" TargetMode="External"/><Relationship Id="rId5" Type="http://schemas.openxmlformats.org/officeDocument/2006/relationships/hyperlink" Target="http://www.sec.gov/cgi-bin/browse-edgar?action=getcompany&amp;CIK=0002007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6964</Characters>
  <CharactersWithSpaces>8202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