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14"/>
        <w:gridCol w:w="1522"/>
        <w:gridCol w:w="3050"/>
        <w:gridCol w:w="2519"/>
      </w:tblGrid>
      <w:tr>
        <w:trPr/>
        <w:tc>
          <w:tcPr>
            <w:tcW w:w="3114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94"/>
            </w:tblGrid>
            <w:tr>
              <w:trPr/>
              <w:tc>
                <w:tcPr>
                  <w:tcW w:w="29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Flanders Scott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98"/>
              <w:gridCol w:w="998"/>
              <w:gridCol w:w="998"/>
            </w:tblGrid>
            <w:tr>
              <w:trPr/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94"/>
            </w:tblGrid>
            <w:tr>
              <w:trPr/>
              <w:tc>
                <w:tcPr>
                  <w:tcW w:w="29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IONIC DIGITAL INC, 650 MASSACHUSETTS</w:t>
                  </w:r>
                </w:p>
              </w:tc>
            </w:tr>
            <w:tr>
              <w:trPr/>
              <w:tc>
                <w:tcPr>
                  <w:tcW w:w="29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AVENUE NW,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98"/>
              <w:gridCol w:w="998"/>
              <w:gridCol w:w="998"/>
            </w:tblGrid>
            <w:tr>
              <w:trPr/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98"/>
              <w:gridCol w:w="998"/>
              <w:gridCol w:w="998"/>
            </w:tblGrid>
            <w:tr>
              <w:trPr/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569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Ionic Digital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1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9"/>
              <w:gridCol w:w="1026"/>
              <w:gridCol w:w="439"/>
              <w:gridCol w:w="1026"/>
            </w:tblGrid>
            <w:tr>
              <w:trPr/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30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14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5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9"/>
              <w:gridCol w:w="2040"/>
            </w:tblGrid>
            <w:tr>
              <w:trPr/>
              <w:tc>
                <w:tcPr>
                  <w:tcW w:w="35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17"/>
        <w:gridCol w:w="1965"/>
        <w:gridCol w:w="1170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$0.00001 per share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37,375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24,917 restricted stock units ("RSUs") under the Ionic Digital Inc. Omnibus Incentive Plan. Each RSU represents a contingent right to receive one share of Class A common stock. The RSUs vest in two annual installments on the date of the 2027 annual stockholder meeting and the 2028 annual stockholder meeting, subject to continued service as a director on such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Flanders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27337" TargetMode="External"/><Relationship Id="rId3" Type="http://schemas.openxmlformats.org/officeDocument/2006/relationships/hyperlink" Target="http://www.sec.gov/cgi-bin/browse-edgar?action=getcompany&amp;CIK=000200769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460</Words>
  <Characters>2517</Characters>
  <CharactersWithSpaces>2930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